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52773B">
            <w:r>
              <w:rPr>
                <w:sz w:val="24"/>
              </w:rPr>
              <w:t>HVCVL/HAD/TRANSFUSION/</w:t>
            </w:r>
            <w:r w:rsidR="0052773B">
              <w:rPr>
                <w:sz w:val="24"/>
              </w:rPr>
              <w:t>MODALITE-TRANSFUSION/EXPLORATION-IH-PRE-TRANSFUSIONNEL</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106045</wp:posOffset>
                </wp:positionV>
                <wp:extent cx="5745167" cy="619125"/>
                <wp:effectExtent l="0" t="0" r="27305" b="28575"/>
                <wp:wrapNone/>
                <wp:docPr id="3" name="Rectangle 3"/>
                <wp:cNvGraphicFramePr/>
                <a:graphic xmlns:a="http://schemas.openxmlformats.org/drawingml/2006/main">
                  <a:graphicData uri="http://schemas.microsoft.com/office/word/2010/wordprocessingShape">
                    <wps:wsp>
                      <wps:cNvSpPr/>
                      <wps:spPr>
                        <a:xfrm>
                          <a:off x="0" y="0"/>
                          <a:ext cx="5745167"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52773B" w:rsidP="00FC530B">
                            <w:pPr>
                              <w:rPr>
                                <w:b/>
                                <w:sz w:val="28"/>
                              </w:rPr>
                            </w:pPr>
                            <w:r>
                              <w:rPr>
                                <w:b/>
                                <w:sz w:val="28"/>
                              </w:rPr>
                              <w:t>Modalités et conditions de prescription du PSL</w:t>
                            </w:r>
                            <w:r w:rsidR="00FC530B" w:rsidRPr="00FC530B">
                              <w:rPr>
                                <w:b/>
                                <w:sz w:val="28"/>
                              </w:rPr>
                              <w:t xml:space="preserve"> </w:t>
                            </w:r>
                            <w:r>
                              <w:rPr>
                                <w:b/>
                                <w:sz w:val="28"/>
                              </w:rPr>
                              <w:t>et des explorations IH pré transfusionnel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35pt;width:452.4pt;height:4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" fillcolor="#5b9bd5 [3204]" strokecolor="#1f4d78 [1604]" strokeweight="1pt">
                <v:textbox>
                  <w:txbxContent>
                    <w:p w:rsidR="00FC530B" w:rsidRPr="00FC530B" w:rsidRDefault="0052773B" w:rsidP="00FC530B">
                      <w:pPr>
                        <w:rPr>
                          <w:b/>
                          <w:sz w:val="28"/>
                        </w:rPr>
                      </w:pPr>
                      <w:r>
                        <w:rPr>
                          <w:b/>
                          <w:sz w:val="28"/>
                        </w:rPr>
                        <w:t>Modalités et conditions de prescription du PSL</w:t>
                      </w:r>
                      <w:r w:rsidR="00FC530B" w:rsidRPr="00FC530B">
                        <w:rPr>
                          <w:b/>
                          <w:sz w:val="28"/>
                        </w:rPr>
                        <w:t xml:space="preserve"> </w:t>
                      </w:r>
                      <w:r>
                        <w:rPr>
                          <w:b/>
                          <w:sz w:val="28"/>
                        </w:rPr>
                        <w:t>et des explorations IH pré transfusionnel</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E77183" w:rsidRDefault="0052773B" w:rsidP="0052773B">
      <w:pPr>
        <w:pStyle w:val="Paragraphedeliste"/>
        <w:numPr>
          <w:ilvl w:val="0"/>
          <w:numId w:val="11"/>
        </w:numPr>
        <w:autoSpaceDE w:val="0"/>
        <w:autoSpaceDN w:val="0"/>
        <w:adjustRightInd w:val="0"/>
        <w:spacing w:after="0"/>
        <w:ind w:left="567" w:hanging="283"/>
        <w:outlineLvl w:val="0"/>
      </w:pPr>
      <w:r w:rsidRPr="0052773B">
        <w:t>Cette procédure a pour objet de décrire les modalités et conditions de prescription du PSL et des explorations IH pré transfusionnel</w:t>
      </w:r>
    </w:p>
    <w:p w:rsidR="00CA2275" w:rsidRDefault="00CA2275">
      <w:pPr>
        <w:rPr>
          <w:b/>
          <w:i/>
          <w:u w:val="single"/>
        </w:rPr>
      </w:pPr>
    </w:p>
    <w:p w:rsidR="007803A9" w:rsidRPr="00D04DEB" w:rsidRDefault="007803A9" w:rsidP="007803A9">
      <w:pPr>
        <w:tabs>
          <w:tab w:val="left" w:pos="1277"/>
        </w:tabs>
        <w:rPr>
          <w:b/>
          <w:bCs/>
          <w:i/>
          <w:u w:val="single"/>
        </w:rPr>
      </w:pPr>
      <w:r w:rsidRPr="00D04DEB">
        <w:rPr>
          <w:b/>
          <w:bCs/>
          <w:i/>
          <w:u w:val="single"/>
        </w:rPr>
        <w:t xml:space="preserve">Domaine d’application </w:t>
      </w:r>
    </w:p>
    <w:p w:rsidR="007803A9" w:rsidRDefault="007803A9" w:rsidP="007803A9">
      <w:pPr>
        <w:tabs>
          <w:tab w:val="left" w:pos="1277"/>
        </w:tabs>
        <w:rPr>
          <w:bCs/>
        </w:rPr>
      </w:pPr>
      <w:r w:rsidRPr="00D04DEB">
        <w:rPr>
          <w:bCs/>
        </w:rPr>
        <w:t xml:space="preserve">HAD </w:t>
      </w:r>
    </w:p>
    <w:p w:rsidR="007803A9" w:rsidRDefault="007803A9">
      <w:pPr>
        <w:rPr>
          <w:b/>
          <w:i/>
          <w:u w:val="single"/>
        </w:rPr>
      </w:pPr>
    </w:p>
    <w:p w:rsidR="00E77183" w:rsidRDefault="00E77183">
      <w:r w:rsidRPr="00E77183">
        <w:rPr>
          <w:b/>
          <w:i/>
          <w:u w:val="single"/>
        </w:rPr>
        <w:t>Textes de références</w:t>
      </w:r>
      <w:r>
        <w:t> :</w:t>
      </w:r>
    </w:p>
    <w:p w:rsidR="0052773B" w:rsidRDefault="0052773B" w:rsidP="0052773B">
      <w:pPr>
        <w:pStyle w:val="Paragraphedeliste"/>
        <w:numPr>
          <w:ilvl w:val="0"/>
          <w:numId w:val="13"/>
        </w:numPr>
        <w:ind w:left="567" w:hanging="283"/>
      </w:pPr>
      <w:r w:rsidRPr="0052773B">
        <w:t>Arrêté du 15 mai 2018 fixant les conditions de réalisation des examens de biologie médicale d’immunohématologie érythrocytaire</w:t>
      </w:r>
    </w:p>
    <w:p w:rsidR="00FE7FDF" w:rsidRPr="00FE7FDF" w:rsidRDefault="00745E20" w:rsidP="00FE7FDF">
      <w:pPr>
        <w:pStyle w:val="Paragraphedeliste"/>
        <w:numPr>
          <w:ilvl w:val="0"/>
          <w:numId w:val="33"/>
        </w:numPr>
        <w:spacing w:after="0" w:line="240" w:lineRule="auto"/>
        <w:ind w:left="709"/>
      </w:pPr>
      <w:r w:rsidRPr="00C3271F">
        <w:rPr>
          <w:rFonts w:cstheme="minorHAnsi"/>
        </w:rPr>
        <w:t>Décision du 10 mars 2020 définissant les principes de bonnes pratiques prévues à l’article 1222-12 du CSP</w:t>
      </w:r>
    </w:p>
    <w:p w:rsidR="00FE7FDF" w:rsidRPr="00FE7FDF" w:rsidRDefault="00745E20" w:rsidP="00FE7FDF">
      <w:pPr>
        <w:pStyle w:val="Paragraphedeliste"/>
        <w:numPr>
          <w:ilvl w:val="0"/>
          <w:numId w:val="33"/>
        </w:numPr>
        <w:spacing w:after="0" w:line="240" w:lineRule="auto"/>
        <w:ind w:left="709"/>
      </w:pPr>
      <w:r w:rsidRPr="00FE7FDF">
        <w:rPr>
          <w:rFonts w:asciiTheme="majorHAnsi" w:hAnsiTheme="majorHAnsi" w:cstheme="majorHAnsi"/>
        </w:rPr>
        <w:t xml:space="preserve"> </w:t>
      </w:r>
      <w:r w:rsidR="00FE7FDF" w:rsidRPr="00FE7FDF">
        <w:rPr>
          <w:rFonts w:cs="Arial"/>
        </w:rPr>
        <w:t>Recommandation de bonne pratique HAS 2012 : Transfusion de plasma thérapeutique : produits, indications ;</w:t>
      </w:r>
    </w:p>
    <w:p w:rsidR="00FE7FDF" w:rsidRPr="00FE7FDF" w:rsidRDefault="00FE7FDF" w:rsidP="00FE7FDF">
      <w:pPr>
        <w:pStyle w:val="Paragraphedeliste"/>
        <w:numPr>
          <w:ilvl w:val="0"/>
          <w:numId w:val="33"/>
        </w:numPr>
        <w:spacing w:after="0" w:line="240" w:lineRule="auto"/>
        <w:ind w:left="709"/>
      </w:pPr>
      <w:r w:rsidRPr="00FE7FDF">
        <w:rPr>
          <w:rFonts w:cs="Arial"/>
        </w:rPr>
        <w:t>Recommandation de bonne pratique HAS 2014 : transfusion de globules rouges homologues : produits, indications, alternatives en anesthésie, Réanimation, chirurgie, urgences ;</w:t>
      </w:r>
    </w:p>
    <w:p w:rsidR="0052773B" w:rsidRPr="00FE7FDF" w:rsidRDefault="00FE7FDF" w:rsidP="00FE7FDF">
      <w:pPr>
        <w:pStyle w:val="Paragraphedeliste"/>
        <w:numPr>
          <w:ilvl w:val="0"/>
          <w:numId w:val="33"/>
        </w:numPr>
        <w:spacing w:after="0" w:line="240" w:lineRule="auto"/>
        <w:ind w:left="709"/>
      </w:pPr>
      <w:r w:rsidRPr="00FE7FDF">
        <w:rPr>
          <w:rFonts w:cs="Arial"/>
        </w:rPr>
        <w:t>Recommandation de bonne pratique HAS 2015 : transfusion de plaquettes : produits, indications ;</w:t>
      </w:r>
    </w:p>
    <w:p w:rsidR="00FE7FDF" w:rsidRPr="00FE7FDF" w:rsidRDefault="00FE7FDF" w:rsidP="00FE7FDF">
      <w:pPr>
        <w:pStyle w:val="Paragraphedeliste"/>
        <w:spacing w:after="0" w:line="240" w:lineRule="auto"/>
        <w:ind w:left="709"/>
      </w:pPr>
    </w:p>
    <w:p w:rsidR="00745E20" w:rsidRDefault="00745E20" w:rsidP="00745E20">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52773B" w:rsidRDefault="0052773B" w:rsidP="0052773B">
      <w:pPr>
        <w:pStyle w:val="Paragraphedeliste"/>
        <w:ind w:left="567"/>
        <w:rPr>
          <w:highlight w:val="yellow"/>
        </w:rPr>
      </w:pPr>
    </w:p>
    <w:p w:rsidR="007803A9" w:rsidRDefault="007803A9" w:rsidP="007803A9">
      <w:pPr>
        <w:pStyle w:val="Paragraphedeliste"/>
        <w:ind w:left="0"/>
        <w:rPr>
          <w:b/>
          <w:i/>
          <w:u w:val="single"/>
        </w:rPr>
      </w:pPr>
      <w:r w:rsidRPr="007803A9">
        <w:rPr>
          <w:b/>
          <w:i/>
          <w:u w:val="single"/>
        </w:rPr>
        <w:t>Documents associés :</w:t>
      </w:r>
    </w:p>
    <w:p w:rsidR="007803A9" w:rsidRPr="003E234C" w:rsidRDefault="007803A9" w:rsidP="007803A9">
      <w:pPr>
        <w:jc w:val="both"/>
        <w:rPr>
          <w:rFonts w:ascii="Gill Sans MT" w:hAnsi="Gill Sans MT"/>
        </w:rPr>
      </w:pPr>
      <w:r>
        <w:rPr>
          <w:rFonts w:ascii="Gill Sans MT" w:hAnsi="Gill Sans MT"/>
        </w:rPr>
        <w:t xml:space="preserve">          </w:t>
      </w:r>
      <w:r w:rsidRPr="003E234C">
        <w:rPr>
          <w:rFonts w:ascii="Gill Sans MT" w:hAnsi="Gill Sans MT"/>
        </w:rPr>
        <w:t>Ordonnance EFS</w:t>
      </w:r>
    </w:p>
    <w:p w:rsidR="007803A9" w:rsidRDefault="007803A9" w:rsidP="007803A9">
      <w:pPr>
        <w:pStyle w:val="Paragraphedeliste"/>
        <w:ind w:left="0"/>
        <w:rPr>
          <w:b/>
          <w:i/>
          <w:u w:val="single"/>
        </w:rPr>
      </w:pPr>
    </w:p>
    <w:p w:rsidR="007803A9" w:rsidRPr="007803A9" w:rsidRDefault="007803A9" w:rsidP="007803A9">
      <w:pPr>
        <w:pStyle w:val="Paragraphedeliste"/>
        <w:ind w:left="0"/>
        <w:rPr>
          <w:b/>
          <w:i/>
          <w:u w:val="single"/>
        </w:rPr>
      </w:pPr>
    </w:p>
    <w:p w:rsidR="0052773B" w:rsidRPr="0052773B" w:rsidRDefault="0052773B" w:rsidP="0052773B">
      <w:pPr>
        <w:rPr>
          <w:b/>
          <w:bCs/>
          <w:i/>
          <w:u w:val="single"/>
        </w:rPr>
      </w:pPr>
      <w:r w:rsidRPr="0052773B">
        <w:rPr>
          <w:b/>
          <w:bCs/>
          <w:i/>
          <w:u w:val="single"/>
        </w:rPr>
        <w:t>Abréviations</w:t>
      </w:r>
      <w:r w:rsidRPr="0052773B">
        <w:rPr>
          <w:b/>
          <w:bCs/>
          <w:i/>
        </w:rPr>
        <w:t> :</w:t>
      </w:r>
    </w:p>
    <w:p w:rsidR="0052773B" w:rsidRPr="0052773B" w:rsidRDefault="0052773B" w:rsidP="0052773B">
      <w:pPr>
        <w:spacing w:after="0"/>
        <w:ind w:left="567"/>
      </w:pPr>
      <w:r w:rsidRPr="0052773B">
        <w:rPr>
          <w:b/>
        </w:rPr>
        <w:t>CGR </w:t>
      </w:r>
      <w:r w:rsidRPr="0052773B">
        <w:t>: Concentré de Globules Rouges</w:t>
      </w:r>
    </w:p>
    <w:p w:rsidR="0052773B" w:rsidRPr="0052773B" w:rsidRDefault="0052773B" w:rsidP="0052773B">
      <w:pPr>
        <w:spacing w:after="0"/>
        <w:ind w:left="567"/>
      </w:pPr>
      <w:r w:rsidRPr="0052773B">
        <w:rPr>
          <w:b/>
        </w:rPr>
        <w:t>CSP</w:t>
      </w:r>
      <w:r w:rsidRPr="0052773B">
        <w:t xml:space="preserve"> : Code de la Santé Publique</w:t>
      </w:r>
    </w:p>
    <w:p w:rsidR="0052773B" w:rsidRPr="0052773B" w:rsidRDefault="0052773B" w:rsidP="0052773B">
      <w:pPr>
        <w:spacing w:after="0"/>
        <w:ind w:left="567"/>
        <w:rPr>
          <w:b/>
        </w:rPr>
      </w:pPr>
      <w:r w:rsidRPr="0052773B">
        <w:rPr>
          <w:b/>
        </w:rPr>
        <w:t>DPI </w:t>
      </w:r>
      <w:r w:rsidRPr="0052773B">
        <w:t>: Dossier Patient Informatisé</w:t>
      </w:r>
    </w:p>
    <w:p w:rsidR="0052773B" w:rsidRPr="0052773B" w:rsidRDefault="0052773B" w:rsidP="0052773B">
      <w:pPr>
        <w:spacing w:after="0"/>
        <w:ind w:left="567"/>
      </w:pPr>
      <w:r w:rsidRPr="0052773B">
        <w:rPr>
          <w:b/>
        </w:rPr>
        <w:t>EFS </w:t>
      </w:r>
      <w:r w:rsidRPr="0052773B">
        <w:t>: Etablissement Français du Sang</w:t>
      </w:r>
    </w:p>
    <w:p w:rsidR="0052773B" w:rsidRPr="0052773B" w:rsidRDefault="0052773B" w:rsidP="0052773B">
      <w:pPr>
        <w:spacing w:after="0"/>
        <w:ind w:left="567"/>
      </w:pPr>
      <w:r w:rsidRPr="0052773B">
        <w:rPr>
          <w:b/>
        </w:rPr>
        <w:t>FDN</w:t>
      </w:r>
      <w:r w:rsidRPr="0052773B">
        <w:t> : Fiche de Délivrance Nominative</w:t>
      </w:r>
    </w:p>
    <w:p w:rsidR="0052773B" w:rsidRPr="0052773B" w:rsidRDefault="0052773B" w:rsidP="0052773B">
      <w:pPr>
        <w:spacing w:after="0"/>
        <w:ind w:left="567"/>
      </w:pPr>
      <w:r w:rsidRPr="0052773B">
        <w:rPr>
          <w:b/>
        </w:rPr>
        <w:t>HAD</w:t>
      </w:r>
      <w:r w:rsidRPr="0052773B">
        <w:t xml:space="preserve"> : Hospitalisation A Domicile</w:t>
      </w:r>
    </w:p>
    <w:p w:rsidR="00CA2275" w:rsidRDefault="0052773B" w:rsidP="0052773B">
      <w:pPr>
        <w:spacing w:after="0"/>
        <w:ind w:left="567"/>
      </w:pPr>
      <w:r w:rsidRPr="0052773B">
        <w:rPr>
          <w:b/>
        </w:rPr>
        <w:t>PSL</w:t>
      </w:r>
      <w:r w:rsidRPr="0052773B">
        <w:t xml:space="preserve"> : Produit Sanguin Labile</w:t>
      </w: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p w:rsidR="007803A9" w:rsidRDefault="007803A9" w:rsidP="0052773B">
      <w:pPr>
        <w:spacing w:after="0"/>
        <w:ind w:left="567"/>
      </w:pPr>
    </w:p>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lastRenderedPageBreak/>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7803A9" w:rsidRPr="00554F14" w:rsidRDefault="007803A9" w:rsidP="007803A9">
            <w:pPr>
              <w:rPr>
                <w:b w:val="0"/>
                <w:sz w:val="16"/>
              </w:rPr>
            </w:pPr>
            <w:r>
              <w:rPr>
                <w:b w:val="0"/>
                <w:sz w:val="16"/>
              </w:rPr>
              <w:t>Médecin c</w:t>
            </w:r>
            <w:r w:rsidRPr="00554F14">
              <w:rPr>
                <w:b w:val="0"/>
                <w:sz w:val="16"/>
              </w:rPr>
              <w:t xml:space="preserve">oordonnateur </w:t>
            </w:r>
            <w:r>
              <w:rPr>
                <w:b w:val="0"/>
                <w:sz w:val="16"/>
              </w:rPr>
              <w:t>HAD Santé Relais domicile Toulouse</w:t>
            </w:r>
          </w:p>
          <w:p w:rsidR="00554F14" w:rsidRPr="00554F14" w:rsidRDefault="00554F14" w:rsidP="00554F14">
            <w:pPr>
              <w:rPr>
                <w:b w:val="0"/>
                <w:sz w:val="16"/>
              </w:rPr>
            </w:pP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tbl>
      <w:tblPr>
        <w:tblpPr w:leftFromText="141" w:rightFromText="141" w:vertAnchor="text" w:horzAnchor="margin" w:tblpY="79"/>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52773B" w:rsidTr="0052773B">
        <w:tc>
          <w:tcPr>
            <w:tcW w:w="9062" w:type="dxa"/>
            <w:tcBorders>
              <w:top w:val="single" w:sz="4" w:space="0" w:color="auto"/>
              <w:left w:val="single" w:sz="4" w:space="0" w:color="auto"/>
              <w:bottom w:val="single" w:sz="4" w:space="0" w:color="auto"/>
              <w:right w:val="single" w:sz="4" w:space="0" w:color="auto"/>
            </w:tcBorders>
            <w:shd w:val="clear" w:color="auto" w:fill="D9D9D9"/>
          </w:tcPr>
          <w:p w:rsidR="0052773B" w:rsidRDefault="0052773B" w:rsidP="0052773B">
            <w:pPr>
              <w:spacing w:before="160"/>
              <w:jc w:val="center"/>
              <w:rPr>
                <w:rFonts w:ascii="Gill Sans MT" w:hAnsi="Gill Sans MT"/>
                <w:b/>
              </w:rPr>
            </w:pPr>
            <w:r>
              <w:rPr>
                <w:rFonts w:ascii="Gill Sans MT" w:hAnsi="Gill Sans MT"/>
                <w:b/>
              </w:rPr>
              <w:t xml:space="preserve">MODALITES ET CONDITIONS DE PRESCRIPTION </w:t>
            </w:r>
          </w:p>
          <w:p w:rsidR="0052773B" w:rsidRPr="00E34CA5" w:rsidRDefault="0052773B" w:rsidP="0052773B">
            <w:pPr>
              <w:spacing w:before="160"/>
              <w:jc w:val="center"/>
              <w:rPr>
                <w:rFonts w:ascii="Gill Sans MT" w:hAnsi="Gill Sans MT"/>
                <w:b/>
                <w:bCs/>
                <w:smallCaps/>
              </w:rPr>
            </w:pPr>
            <w:r>
              <w:rPr>
                <w:rFonts w:ascii="Gill Sans MT" w:hAnsi="Gill Sans MT"/>
                <w:b/>
              </w:rPr>
              <w:t>DU PSL ET DES EXPLORATIONS IH PRE TRANSFUSIONNEL</w:t>
            </w:r>
            <w:r w:rsidRPr="00E34CA5">
              <w:rPr>
                <w:rFonts w:ascii="Gill Sans MT" w:hAnsi="Gill Sans MT"/>
                <w:b/>
              </w:rPr>
              <w:t xml:space="preserve"> </w:t>
            </w:r>
          </w:p>
        </w:tc>
      </w:tr>
    </w:tbl>
    <w:p w:rsidR="0052773B" w:rsidRPr="005B6B7C" w:rsidRDefault="000B7276" w:rsidP="000B7276">
      <w:pPr>
        <w:ind w:left="567" w:right="572" w:hanging="283"/>
        <w:jc w:val="both"/>
        <w:rPr>
          <w:rFonts w:cstheme="minorHAnsi"/>
          <w:b/>
        </w:rPr>
      </w:pPr>
      <w:r w:rsidRPr="005B6B7C">
        <w:rPr>
          <w:rFonts w:cstheme="minorHAnsi"/>
        </w:rPr>
        <w:t xml:space="preserve">  </w:t>
      </w:r>
    </w:p>
    <w:p w:rsidR="00D04DEB" w:rsidRPr="00D04DEB" w:rsidRDefault="00D04DEB" w:rsidP="00D04DEB">
      <w:pPr>
        <w:tabs>
          <w:tab w:val="left" w:pos="1277"/>
        </w:tabs>
        <w:rPr>
          <w:b/>
          <w:bCs/>
          <w:i/>
          <w:u w:val="single"/>
        </w:rPr>
      </w:pPr>
      <w:r w:rsidRPr="00D04DEB">
        <w:rPr>
          <w:b/>
          <w:bCs/>
          <w:i/>
          <w:u w:val="single"/>
        </w:rPr>
        <w:t xml:space="preserve">Organisation </w:t>
      </w:r>
    </w:p>
    <w:p w:rsidR="00D04DEB" w:rsidRPr="00D04DEB" w:rsidRDefault="00D04DEB" w:rsidP="00D04DEB">
      <w:pPr>
        <w:tabs>
          <w:tab w:val="left" w:pos="1277"/>
        </w:tabs>
        <w:rPr>
          <w:b/>
          <w:bCs/>
          <w:u w:val="single"/>
        </w:rPr>
      </w:pPr>
    </w:p>
    <w:p w:rsidR="00D04DEB" w:rsidRPr="00D04DEB" w:rsidRDefault="00D04DEB" w:rsidP="00D04DEB">
      <w:pPr>
        <w:pStyle w:val="Paragraphedeliste"/>
        <w:numPr>
          <w:ilvl w:val="0"/>
          <w:numId w:val="32"/>
        </w:numPr>
        <w:tabs>
          <w:tab w:val="left" w:pos="1277"/>
        </w:tabs>
        <w:rPr>
          <w:b/>
          <w:bCs/>
          <w:u w:val="single"/>
        </w:rPr>
      </w:pPr>
      <w:r w:rsidRPr="00D04DEB">
        <w:rPr>
          <w:b/>
          <w:bCs/>
          <w:u w:val="single"/>
        </w:rPr>
        <w:t>Modalités et conditions de prescription d’un PSL</w:t>
      </w:r>
    </w:p>
    <w:p w:rsidR="00D04DEB" w:rsidRPr="00D04DEB" w:rsidRDefault="00D04DEB" w:rsidP="00D04DEB">
      <w:pPr>
        <w:tabs>
          <w:tab w:val="left" w:pos="1277"/>
        </w:tabs>
      </w:pPr>
      <w:r w:rsidRPr="00D04DEB">
        <w:t>Quand les critères d’inclusion en HAD pour un acte transfusionnel ont été validés (Cf. Procédure </w:t>
      </w:r>
      <w:r w:rsidRPr="00745E20">
        <w:t>« </w:t>
      </w:r>
      <w:r w:rsidR="00FE7FDF" w:rsidRPr="00FE7FDF">
        <w:rPr>
          <w:i/>
        </w:rPr>
        <w:t>HVCVL-HAD-TRANSFUSION-CRITERES-INCLUSION-EXCLUSION-PATIENT</w:t>
      </w:r>
      <w:r w:rsidR="00FE7FDF" w:rsidRPr="00745E20">
        <w:t xml:space="preserve"> »</w:t>
      </w:r>
      <w:r w:rsidRPr="00D04DEB">
        <w:t xml:space="preserve"> et au vu des éléments du contexte transfusionnel (DPI), des résultats de l’IH et du protocole transfusionnel éventuel du patient (Dossier EFS), la prescription d’un PSL doit comprendre :</w:t>
      </w:r>
    </w:p>
    <w:p w:rsidR="00D04DEB" w:rsidRPr="00D04DEB" w:rsidRDefault="00D04DEB" w:rsidP="005F2CD0">
      <w:pPr>
        <w:numPr>
          <w:ilvl w:val="0"/>
          <w:numId w:val="29"/>
        </w:numPr>
        <w:tabs>
          <w:tab w:val="left" w:pos="1277"/>
        </w:tabs>
      </w:pPr>
      <w:r w:rsidRPr="00D04DEB">
        <w:lastRenderedPageBreak/>
        <w:t>Un type de PSL a administré au patient : le CGR</w:t>
      </w:r>
      <w:r w:rsidR="00745E20">
        <w:t>, le plasma ou des plaquettes</w:t>
      </w:r>
    </w:p>
    <w:p w:rsidR="00D04DEB" w:rsidRDefault="00D04DEB" w:rsidP="004B01FF">
      <w:pPr>
        <w:numPr>
          <w:ilvl w:val="0"/>
          <w:numId w:val="29"/>
        </w:numPr>
        <w:tabs>
          <w:tab w:val="left" w:pos="1277"/>
        </w:tabs>
      </w:pPr>
      <w:r w:rsidRPr="00D04DEB">
        <w:t xml:space="preserve">Un nombre de </w:t>
      </w:r>
      <w:r w:rsidR="00FE7FDF">
        <w:t>PSL</w:t>
      </w:r>
      <w:r w:rsidRPr="00D04DEB">
        <w:t xml:space="preserve"> : </w:t>
      </w:r>
      <w:r w:rsidR="00745E20">
        <w:t xml:space="preserve">en principe </w:t>
      </w:r>
      <w:r w:rsidRPr="00D04DEB">
        <w:rPr>
          <w:b/>
        </w:rPr>
        <w:t xml:space="preserve">un seul </w:t>
      </w:r>
      <w:r w:rsidR="00FE7FDF">
        <w:rPr>
          <w:b/>
        </w:rPr>
        <w:t>PSL</w:t>
      </w:r>
      <w:r w:rsidRPr="00D04DEB">
        <w:t xml:space="preserve"> sera administré par acte transfusionnel pendant la durée du séjour pour MPP18 (Document cadre HAD et transfusion - Recommandation N°6) </w:t>
      </w:r>
    </w:p>
    <w:p w:rsidR="00FE7FDF" w:rsidRPr="00D04DEB" w:rsidRDefault="00FE7FDF" w:rsidP="004B01FF">
      <w:pPr>
        <w:numPr>
          <w:ilvl w:val="0"/>
          <w:numId w:val="29"/>
        </w:numPr>
        <w:tabs>
          <w:tab w:val="left" w:pos="1277"/>
        </w:tabs>
      </w:pPr>
      <w:r>
        <w:t xml:space="preserve">Qualification éventuelle du PSL </w:t>
      </w:r>
    </w:p>
    <w:p w:rsidR="00D04DEB" w:rsidRPr="00D04DEB" w:rsidRDefault="00D04DEB" w:rsidP="00D04DEB">
      <w:pPr>
        <w:tabs>
          <w:tab w:val="left" w:pos="1277"/>
        </w:tabs>
        <w:rPr>
          <w:b/>
          <w:i/>
        </w:rPr>
      </w:pPr>
      <w:r w:rsidRPr="00D04DEB">
        <w:rPr>
          <w:i/>
          <w:u w:val="single"/>
        </w:rPr>
        <w:t>A noter </w:t>
      </w:r>
      <w:r w:rsidRPr="00D04DEB">
        <w:rPr>
          <w:i/>
        </w:rPr>
        <w:t xml:space="preserve">: la transfusion </w:t>
      </w:r>
      <w:r w:rsidR="00FE7FDF">
        <w:rPr>
          <w:i/>
        </w:rPr>
        <w:t xml:space="preserve">de CGR </w:t>
      </w:r>
      <w:r w:rsidRPr="00D04DEB">
        <w:rPr>
          <w:i/>
        </w:rPr>
        <w:t xml:space="preserve">en protocole « </w:t>
      </w:r>
      <w:proofErr w:type="spellStart"/>
      <w:r w:rsidRPr="00D04DEB">
        <w:rPr>
          <w:i/>
        </w:rPr>
        <w:t>phénotypé</w:t>
      </w:r>
      <w:proofErr w:type="spellEnd"/>
      <w:r w:rsidRPr="00D04DEB">
        <w:rPr>
          <w:i/>
        </w:rPr>
        <w:t xml:space="preserve"> RH-KEL1 » n’est pas recommandée pour les patients de plus de 80 ans </w:t>
      </w:r>
      <w:r w:rsidRPr="00D04DEB">
        <w:rPr>
          <w:b/>
          <w:i/>
        </w:rPr>
        <w:t xml:space="preserve">sauf pour les patients en support transfusionnel régulier, ce qui est le cas des syndromes myélodysplasiques </w:t>
      </w:r>
    </w:p>
    <w:p w:rsidR="00D04DEB" w:rsidRPr="00D04DEB" w:rsidRDefault="00D04DEB" w:rsidP="00D04DEB">
      <w:pPr>
        <w:tabs>
          <w:tab w:val="left" w:pos="1277"/>
        </w:tabs>
        <w:rPr>
          <w:b/>
          <w:i/>
        </w:rPr>
      </w:pPr>
    </w:p>
    <w:p w:rsidR="00D04DEB" w:rsidRPr="00D04DEB" w:rsidRDefault="00D04DEB" w:rsidP="00D04DEB">
      <w:pPr>
        <w:numPr>
          <w:ilvl w:val="0"/>
          <w:numId w:val="30"/>
        </w:numPr>
        <w:tabs>
          <w:tab w:val="left" w:pos="1277"/>
        </w:tabs>
      </w:pPr>
      <w:r w:rsidRPr="00D04DEB">
        <w:t xml:space="preserve">Une transformation si nécessaire du </w:t>
      </w:r>
      <w:r w:rsidR="00FE7FDF">
        <w:t>PSL</w:t>
      </w:r>
      <w:r w:rsidRPr="00D04DEB">
        <w:t xml:space="preserve"> dans le cadre d’un protocole spécifique de prise en charge patient</w:t>
      </w:r>
    </w:p>
    <w:p w:rsidR="00D04DEB" w:rsidRPr="00D04DEB" w:rsidRDefault="00D04DEB" w:rsidP="00D04DEB">
      <w:pPr>
        <w:numPr>
          <w:ilvl w:val="0"/>
          <w:numId w:val="30"/>
        </w:numPr>
        <w:tabs>
          <w:tab w:val="left" w:pos="1277"/>
        </w:tabs>
      </w:pPr>
      <w:r w:rsidRPr="00D04DEB">
        <w:t xml:space="preserve">Un débit de transfusion </w:t>
      </w:r>
    </w:p>
    <w:p w:rsidR="00D04DEB" w:rsidRPr="00D04DEB" w:rsidRDefault="00D04DEB" w:rsidP="00D04DEB">
      <w:pPr>
        <w:numPr>
          <w:ilvl w:val="0"/>
          <w:numId w:val="30"/>
        </w:numPr>
        <w:tabs>
          <w:tab w:val="left" w:pos="1277"/>
        </w:tabs>
      </w:pPr>
      <w:r w:rsidRPr="00D04DEB">
        <w:t>Et enfin une surveillance de cet acte transfusionnel</w:t>
      </w:r>
    </w:p>
    <w:p w:rsidR="00D04DEB" w:rsidRPr="00D04DEB" w:rsidRDefault="00D04DEB" w:rsidP="00D04DEB">
      <w:pPr>
        <w:tabs>
          <w:tab w:val="left" w:pos="1277"/>
        </w:tabs>
      </w:pPr>
    </w:p>
    <w:p w:rsidR="00D04DEB" w:rsidRPr="00D04DEB" w:rsidRDefault="00D04DEB" w:rsidP="00D04DEB">
      <w:pPr>
        <w:tabs>
          <w:tab w:val="left" w:pos="1277"/>
        </w:tabs>
      </w:pPr>
      <w:r w:rsidRPr="00D04DEB">
        <w:t>Cette prescription sera formalisée par le médecin coordonnateur habilité :</w:t>
      </w:r>
    </w:p>
    <w:p w:rsidR="00D04DEB" w:rsidRPr="00D04DEB" w:rsidRDefault="00D04DEB" w:rsidP="00D04DEB">
      <w:pPr>
        <w:numPr>
          <w:ilvl w:val="0"/>
          <w:numId w:val="27"/>
        </w:numPr>
        <w:tabs>
          <w:tab w:val="left" w:pos="1277"/>
        </w:tabs>
      </w:pPr>
      <w:proofErr w:type="gramStart"/>
      <w:r w:rsidRPr="00D04DEB">
        <w:t>sur</w:t>
      </w:r>
      <w:proofErr w:type="gramEnd"/>
      <w:r w:rsidRPr="00D04DEB">
        <w:t xml:space="preserve"> le support de prescription national de l’EFS et transmise par </w:t>
      </w:r>
    </w:p>
    <w:p w:rsidR="00D04DEB" w:rsidRPr="00D04DEB" w:rsidRDefault="00D04DEB" w:rsidP="00D04DEB">
      <w:pPr>
        <w:tabs>
          <w:tab w:val="left" w:pos="1277"/>
        </w:tabs>
      </w:pPr>
      <w:r w:rsidRPr="00D04DEB">
        <w:t>FAX</w:t>
      </w:r>
      <w:r w:rsidR="00745E20">
        <w:t> </w:t>
      </w:r>
      <w:r w:rsidR="00745E20">
        <w:rPr>
          <w:b/>
        </w:rPr>
        <w:t xml:space="preserve">: </w:t>
      </w:r>
    </w:p>
    <w:p w:rsidR="00D04DEB" w:rsidRPr="00D04DEB" w:rsidRDefault="00D04DEB" w:rsidP="00D04DEB">
      <w:pPr>
        <w:tabs>
          <w:tab w:val="left" w:pos="1277"/>
        </w:tabs>
      </w:pPr>
    </w:p>
    <w:p w:rsidR="00D04DEB" w:rsidRPr="00D04DEB" w:rsidRDefault="00D04DEB" w:rsidP="00D04DEB">
      <w:pPr>
        <w:numPr>
          <w:ilvl w:val="0"/>
          <w:numId w:val="27"/>
        </w:numPr>
        <w:tabs>
          <w:tab w:val="left" w:pos="1277"/>
        </w:tabs>
      </w:pPr>
      <w:proofErr w:type="gramStart"/>
      <w:r w:rsidRPr="00D04DEB">
        <w:rPr>
          <w:b/>
        </w:rPr>
        <w:t>et</w:t>
      </w:r>
      <w:proofErr w:type="gramEnd"/>
      <w:r w:rsidRPr="00D04DEB">
        <w:t xml:space="preserve"> tracée dans le DPI dans le suivi médical</w:t>
      </w:r>
    </w:p>
    <w:p w:rsidR="00D04DEB" w:rsidRPr="00D04DEB" w:rsidRDefault="00D04DEB" w:rsidP="00D04DEB">
      <w:pPr>
        <w:tabs>
          <w:tab w:val="left" w:pos="1277"/>
        </w:tabs>
      </w:pPr>
    </w:p>
    <w:p w:rsidR="00D04DEB" w:rsidRPr="00D04DEB" w:rsidRDefault="00D04DEB" w:rsidP="00D04DEB">
      <w:pPr>
        <w:tabs>
          <w:tab w:val="left" w:pos="1277"/>
        </w:tabs>
      </w:pPr>
      <w:r w:rsidRPr="00D04DEB">
        <w:t xml:space="preserve">La surveillance IDE sera tracée dans le formulaire de surveillance : </w:t>
      </w:r>
    </w:p>
    <w:p w:rsidR="00D04DEB" w:rsidRPr="00D04DEB" w:rsidRDefault="00D04DEB" w:rsidP="00D04DEB">
      <w:pPr>
        <w:numPr>
          <w:ilvl w:val="0"/>
          <w:numId w:val="27"/>
        </w:numPr>
        <w:tabs>
          <w:tab w:val="left" w:pos="1277"/>
        </w:tabs>
      </w:pPr>
      <w:r w:rsidRPr="00D04DEB">
        <w:t xml:space="preserve">Pour chaque poche CHECK List transfusion d’un </w:t>
      </w:r>
      <w:r w:rsidR="00745E20">
        <w:t>PSL</w:t>
      </w:r>
    </w:p>
    <w:p w:rsidR="00D04DEB" w:rsidRPr="00D04DEB" w:rsidRDefault="00D04DEB" w:rsidP="00D04DEB">
      <w:pPr>
        <w:numPr>
          <w:ilvl w:val="0"/>
          <w:numId w:val="27"/>
        </w:numPr>
        <w:tabs>
          <w:tab w:val="left" w:pos="1277"/>
        </w:tabs>
      </w:pPr>
      <w:r w:rsidRPr="00D04DEB">
        <w:t>Traçabilité sera réalisée en temps réelle au chevet du patient sur la FDN</w:t>
      </w:r>
    </w:p>
    <w:p w:rsidR="00D04DEB" w:rsidRPr="00D04DEB" w:rsidRDefault="00D04DEB" w:rsidP="00D04DEB">
      <w:pPr>
        <w:tabs>
          <w:tab w:val="left" w:pos="1277"/>
        </w:tabs>
        <w:rPr>
          <w:b/>
          <w:bCs/>
          <w:u w:val="single"/>
        </w:rPr>
      </w:pPr>
    </w:p>
    <w:p w:rsidR="00D04DEB" w:rsidRPr="00D04DEB" w:rsidRDefault="00D04DEB" w:rsidP="00D04DEB">
      <w:pPr>
        <w:pStyle w:val="Paragraphedeliste"/>
        <w:numPr>
          <w:ilvl w:val="0"/>
          <w:numId w:val="32"/>
        </w:numPr>
        <w:tabs>
          <w:tab w:val="left" w:pos="1277"/>
        </w:tabs>
        <w:rPr>
          <w:b/>
          <w:bCs/>
          <w:u w:val="single"/>
        </w:rPr>
      </w:pPr>
      <w:r w:rsidRPr="00D04DEB">
        <w:rPr>
          <w:b/>
          <w:bCs/>
          <w:u w:val="single"/>
        </w:rPr>
        <w:t>Modalités et conditions de prescription des examens IH dans un contexte pré- transfusionnel</w:t>
      </w:r>
    </w:p>
    <w:p w:rsidR="00D04DEB" w:rsidRPr="00D04DEB" w:rsidRDefault="00D04DEB" w:rsidP="00D04DEB">
      <w:pPr>
        <w:numPr>
          <w:ilvl w:val="0"/>
          <w:numId w:val="27"/>
        </w:numPr>
        <w:tabs>
          <w:tab w:val="left" w:pos="1277"/>
        </w:tabs>
        <w:rPr>
          <w:b/>
          <w:u w:val="single"/>
        </w:rPr>
      </w:pPr>
      <w:r w:rsidRPr="00D04DEB">
        <w:rPr>
          <w:b/>
          <w:u w:val="single"/>
        </w:rPr>
        <w:t xml:space="preserve">Groupage ABO-RH1 et phénotype RH-KEL1 </w:t>
      </w:r>
    </w:p>
    <w:p w:rsidR="00D04DEB" w:rsidRPr="00D04DEB" w:rsidRDefault="00D04DEB" w:rsidP="00D04DEB">
      <w:pPr>
        <w:tabs>
          <w:tab w:val="left" w:pos="1277"/>
        </w:tabs>
        <w:rPr>
          <w:b/>
          <w:u w:val="single"/>
        </w:rPr>
      </w:pPr>
    </w:p>
    <w:p w:rsidR="00D04DEB" w:rsidRPr="00D04DEB" w:rsidRDefault="00D04DEB" w:rsidP="00D04DEB">
      <w:pPr>
        <w:tabs>
          <w:tab w:val="left" w:pos="1277"/>
        </w:tabs>
      </w:pPr>
      <w:r w:rsidRPr="00D04DEB">
        <w:rPr>
          <w:b/>
        </w:rPr>
        <w:t>Carte de groupe conforme</w:t>
      </w:r>
      <w:r w:rsidRPr="00D04DEB">
        <w:t xml:space="preserve"> qui dans le cadre d'un contexte transfusionnel avéré, comprends deux déterminations, dont </w:t>
      </w:r>
      <w:r w:rsidRPr="00D04DEB">
        <w:rPr>
          <w:b/>
        </w:rPr>
        <w:t xml:space="preserve">une seconde détermination est faite par le laboratoire de biologie médicale du site présumé de délivrance ou par un laboratoire de biologie médicale dont le système permet une transmission électronique </w:t>
      </w:r>
      <w:r w:rsidRPr="00D04DEB">
        <w:t>des données d'identification du patient et des résultats au site de délivrance.</w:t>
      </w:r>
      <w:r w:rsidRPr="00D04DEB">
        <w:br/>
      </w:r>
    </w:p>
    <w:p w:rsidR="00D04DEB" w:rsidRPr="00D04DEB" w:rsidRDefault="00D04DEB" w:rsidP="00D04DEB">
      <w:pPr>
        <w:tabs>
          <w:tab w:val="left" w:pos="1277"/>
        </w:tabs>
        <w:rPr>
          <w:b/>
        </w:rPr>
      </w:pPr>
      <w:r w:rsidRPr="00D04DEB">
        <w:t xml:space="preserve">Lorsqu'une seconde détermination est effectuée, l'échantillon sanguin est prélevé par un professionnel différent de celui de la première détermination. L'échantillon sanguin peut aussi être prélevé par le même professionnel que celui qui a effectué la première détermination dès lors qu'il l'effectue lors </w:t>
      </w:r>
      <w:r w:rsidRPr="00D04DEB">
        <w:rPr>
          <w:b/>
        </w:rPr>
        <w:t>d'un deuxième acte de prélèvement, impérativement indépendant du premier et comprenant une nouvelle vérification de l'identification du patient.</w:t>
      </w:r>
    </w:p>
    <w:p w:rsidR="00D04DEB" w:rsidRPr="00D04DEB" w:rsidRDefault="00D04DEB" w:rsidP="00D04DEB">
      <w:pPr>
        <w:tabs>
          <w:tab w:val="left" w:pos="1277"/>
        </w:tabs>
      </w:pPr>
      <w:r w:rsidRPr="00D04DEB">
        <w:t xml:space="preserve">Tout patient qui va rentrer dans un protocole de support transfusionnel régulier doit avoir au préalable un </w:t>
      </w:r>
      <w:r w:rsidRPr="00D04DEB">
        <w:rPr>
          <w:b/>
        </w:rPr>
        <w:t xml:space="preserve">groupage avec un </w:t>
      </w:r>
      <w:proofErr w:type="spellStart"/>
      <w:r w:rsidRPr="00D04DEB">
        <w:rPr>
          <w:b/>
        </w:rPr>
        <w:t>Phénotypage</w:t>
      </w:r>
      <w:proofErr w:type="spellEnd"/>
      <w:r w:rsidRPr="00D04DEB">
        <w:rPr>
          <w:b/>
        </w:rPr>
        <w:t xml:space="preserve"> étendu.</w:t>
      </w:r>
    </w:p>
    <w:p w:rsidR="00D04DEB" w:rsidRPr="00D04DEB" w:rsidRDefault="00D04DEB" w:rsidP="00D04DEB">
      <w:pPr>
        <w:tabs>
          <w:tab w:val="left" w:pos="1277"/>
        </w:tabs>
      </w:pPr>
      <w:r w:rsidRPr="00D04DEB">
        <w:t>Cet examen est réalisé sur un tube EDTA dans un délai de 30 minutes (hors délai d’acheminement)</w:t>
      </w:r>
    </w:p>
    <w:p w:rsidR="00D04DEB" w:rsidRPr="00D04DEB" w:rsidRDefault="00D04DEB" w:rsidP="00D04DEB">
      <w:pPr>
        <w:tabs>
          <w:tab w:val="left" w:pos="1277"/>
        </w:tabs>
        <w:rPr>
          <w:b/>
          <w:u w:val="single"/>
        </w:rPr>
      </w:pPr>
    </w:p>
    <w:p w:rsidR="00D04DEB" w:rsidRPr="00D04DEB" w:rsidRDefault="00D04DEB" w:rsidP="00D04DEB">
      <w:pPr>
        <w:numPr>
          <w:ilvl w:val="0"/>
          <w:numId w:val="27"/>
        </w:numPr>
        <w:tabs>
          <w:tab w:val="left" w:pos="1277"/>
        </w:tabs>
        <w:rPr>
          <w:b/>
          <w:u w:val="single"/>
        </w:rPr>
      </w:pPr>
      <w:r w:rsidRPr="00D04DEB">
        <w:rPr>
          <w:b/>
          <w:u w:val="single"/>
        </w:rPr>
        <w:t>Recherche d’Anticorps Anti-érythrocytaire Irréguliers</w:t>
      </w:r>
    </w:p>
    <w:p w:rsidR="00D04DEB" w:rsidRPr="00D04DEB" w:rsidRDefault="00D04DEB" w:rsidP="00D04DEB">
      <w:pPr>
        <w:tabs>
          <w:tab w:val="left" w:pos="1277"/>
        </w:tabs>
      </w:pPr>
      <w:r w:rsidRPr="00D04DEB">
        <w:t>De façon systématique avant toute prescription de CGR une recherche de RAI doit être réalisée :</w:t>
      </w:r>
    </w:p>
    <w:p w:rsidR="00D04DEB" w:rsidRPr="00D04DEB" w:rsidRDefault="00D04DEB" w:rsidP="00D04DEB">
      <w:pPr>
        <w:numPr>
          <w:ilvl w:val="0"/>
          <w:numId w:val="31"/>
        </w:numPr>
        <w:tabs>
          <w:tab w:val="left" w:pos="1277"/>
        </w:tabs>
      </w:pPr>
      <w:r w:rsidRPr="00D04DEB">
        <w:t xml:space="preserve"> De façon réglementaire dans un délai i</w:t>
      </w:r>
      <w:r>
        <w:t>nférieur à 72 heures</w:t>
      </w:r>
    </w:p>
    <w:p w:rsidR="00D04DEB" w:rsidRPr="00D04DEB" w:rsidRDefault="00D04DEB" w:rsidP="00D04DEB">
      <w:pPr>
        <w:numPr>
          <w:ilvl w:val="0"/>
          <w:numId w:val="31"/>
        </w:numPr>
        <w:tabs>
          <w:tab w:val="left" w:pos="1277"/>
        </w:tabs>
      </w:pPr>
      <w:r w:rsidRPr="00D04DEB">
        <w:t>Afin de sécuriser au mieux la transfusion et en pratique ce délai est réduit à 24 heures</w:t>
      </w:r>
    </w:p>
    <w:p w:rsidR="00D04DEB" w:rsidRPr="00D04DEB" w:rsidRDefault="00D04DEB" w:rsidP="00D04DEB">
      <w:pPr>
        <w:numPr>
          <w:ilvl w:val="0"/>
          <w:numId w:val="31"/>
        </w:numPr>
        <w:tabs>
          <w:tab w:val="left" w:pos="1277"/>
        </w:tabs>
      </w:pPr>
      <w:r w:rsidRPr="00D04DEB">
        <w:t>Et de moins de 21 jours sur précision du prescripteur en l’absence de grossesse et de transfusion dans les 6 mois qui précèdent l’acte transfusi</w:t>
      </w:r>
      <w:r>
        <w:t>onnel</w:t>
      </w:r>
    </w:p>
    <w:p w:rsidR="00D04DEB" w:rsidRPr="00D04DEB" w:rsidRDefault="00D04DEB" w:rsidP="00D04DEB">
      <w:pPr>
        <w:tabs>
          <w:tab w:val="left" w:pos="1277"/>
        </w:tabs>
      </w:pPr>
    </w:p>
    <w:p w:rsidR="00D04DEB" w:rsidRPr="00D04DEB" w:rsidRDefault="00D04DEB" w:rsidP="00D04DEB">
      <w:pPr>
        <w:tabs>
          <w:tab w:val="left" w:pos="1277"/>
        </w:tabs>
        <w:rPr>
          <w:b/>
        </w:rPr>
      </w:pPr>
      <w:r w:rsidRPr="00D04DEB">
        <w:t xml:space="preserve">En cas de RAI positive </w:t>
      </w:r>
      <w:r w:rsidRPr="00D04DEB">
        <w:rPr>
          <w:b/>
        </w:rPr>
        <w:t>une identification de l’allo AC par le laboratoire est obligatoire</w:t>
      </w:r>
      <w:r w:rsidRPr="00D04DEB">
        <w:t xml:space="preserve">. Dans certains cas de RAI positives un avis du médecin de l’EFS peut être nécessaire, en effet il est rappelé que les </w:t>
      </w:r>
      <w:r w:rsidRPr="00D04DEB">
        <w:rPr>
          <w:b/>
        </w:rPr>
        <w:t>ATCD d’allo immunisation anti -érythrocytaire d’intérêt clinique non solutionnée (ECD positive) sont un des critères d’exclusion d’une prise en charge transfusionnelle en HAD.</w:t>
      </w:r>
    </w:p>
    <w:p w:rsidR="00D04DEB" w:rsidRPr="00D04DEB" w:rsidRDefault="00D04DEB" w:rsidP="00D04DEB">
      <w:pPr>
        <w:tabs>
          <w:tab w:val="left" w:pos="1277"/>
        </w:tabs>
      </w:pPr>
    </w:p>
    <w:p w:rsidR="00D04DEB" w:rsidRPr="00D04DEB" w:rsidRDefault="00D04DEB" w:rsidP="00D04DEB">
      <w:pPr>
        <w:tabs>
          <w:tab w:val="left" w:pos="1277"/>
        </w:tabs>
      </w:pPr>
      <w:r w:rsidRPr="00D04DEB">
        <w:t xml:space="preserve">Un contrôle de la RAI 1 à 3 mois après la réalisation de la transfusion sera réalisé. Si la RAI s’est positivée, c’est un EIR de grade 1 qui doit être déclaré par le médecin </w:t>
      </w:r>
      <w:proofErr w:type="spellStart"/>
      <w:r w:rsidRPr="00D04DEB">
        <w:t>Hémovigilant</w:t>
      </w:r>
      <w:proofErr w:type="spellEnd"/>
      <w:r w:rsidRPr="00D04DEB">
        <w:t xml:space="preserve"> de l’HAD.</w:t>
      </w:r>
    </w:p>
    <w:p w:rsidR="00D04DEB" w:rsidRPr="00D04DEB" w:rsidRDefault="00D04DEB" w:rsidP="00D04DEB">
      <w:pPr>
        <w:tabs>
          <w:tab w:val="left" w:pos="1277"/>
        </w:tabs>
      </w:pPr>
      <w:r w:rsidRPr="00D04DEB">
        <w:t>Cet examen est réalisé sur un tube EDTA dans un délai qui va de 20 minutes à plusieurs heures si une identification d’allo AC est nécessaire (hors délai d’acheminement)</w:t>
      </w:r>
    </w:p>
    <w:p w:rsidR="00D04DEB" w:rsidRPr="00D04DEB" w:rsidRDefault="00D04DEB" w:rsidP="00D04DEB">
      <w:pPr>
        <w:tabs>
          <w:tab w:val="left" w:pos="1277"/>
        </w:tabs>
        <w:rPr>
          <w:b/>
          <w:u w:val="single"/>
        </w:rPr>
      </w:pPr>
    </w:p>
    <w:p w:rsidR="00D04DEB" w:rsidRPr="00D04DEB" w:rsidRDefault="00D04DEB" w:rsidP="00D04DEB">
      <w:pPr>
        <w:numPr>
          <w:ilvl w:val="0"/>
          <w:numId w:val="27"/>
        </w:numPr>
        <w:tabs>
          <w:tab w:val="left" w:pos="1277"/>
        </w:tabs>
        <w:rPr>
          <w:b/>
          <w:u w:val="single"/>
        </w:rPr>
      </w:pPr>
      <w:r w:rsidRPr="00D04DEB">
        <w:rPr>
          <w:b/>
          <w:u w:val="single"/>
        </w:rPr>
        <w:t>Epreuve de Compatibilité Directe (ECD)</w:t>
      </w:r>
    </w:p>
    <w:p w:rsidR="00D04DEB" w:rsidRPr="00D04DEB" w:rsidRDefault="00D04DEB" w:rsidP="00D04DEB">
      <w:pPr>
        <w:tabs>
          <w:tab w:val="left" w:pos="1277"/>
        </w:tabs>
      </w:pPr>
      <w:r>
        <w:t>Une ECD est s</w:t>
      </w:r>
      <w:r w:rsidRPr="00D04DEB">
        <w:t>ystématiquement demandée si la RAI est positive. Cet examen est réalisé avec le plasma du patient (tube EDTA) et les CGR des PSL donneurs, cet examen peut aller de 20 minutes à plusieurs heures en fonction de la complexité de l’allo AC identifié et de la disponibilité des PSL compatibles sur le site EFS devant assurer cette délivrance. La durée de validité de cet examen est de 3 jours à dater du prélèvement.</w:t>
      </w:r>
    </w:p>
    <w:p w:rsidR="00D04DEB" w:rsidRPr="00D04DEB" w:rsidRDefault="00D04DEB" w:rsidP="00D04DEB">
      <w:pPr>
        <w:tabs>
          <w:tab w:val="left" w:pos="1277"/>
        </w:tabs>
        <w:rPr>
          <w:b/>
          <w:bCs/>
        </w:rPr>
      </w:pPr>
    </w:p>
    <w:p w:rsidR="00D04DEB" w:rsidRPr="00D04DEB" w:rsidRDefault="00D04DEB" w:rsidP="00D04DEB">
      <w:pPr>
        <w:tabs>
          <w:tab w:val="left" w:pos="1277"/>
        </w:tabs>
        <w:rPr>
          <w:b/>
          <w:bCs/>
        </w:rPr>
      </w:pPr>
      <w:bookmarkStart w:id="0" w:name="_Hlk536439945"/>
    </w:p>
    <w:p w:rsidR="00D04DEB" w:rsidRPr="007803A9" w:rsidRDefault="00D04DEB" w:rsidP="007803A9">
      <w:pPr>
        <w:tabs>
          <w:tab w:val="left" w:pos="1277"/>
        </w:tabs>
        <w:rPr>
          <w:b/>
          <w:bCs/>
          <w:i/>
          <w:u w:val="single"/>
        </w:rPr>
      </w:pPr>
      <w:r w:rsidRPr="007803A9">
        <w:rPr>
          <w:b/>
          <w:bCs/>
          <w:i/>
          <w:u w:val="single"/>
        </w:rPr>
        <w:t>E</w:t>
      </w:r>
      <w:r w:rsidR="007803A9" w:rsidRPr="007803A9">
        <w:rPr>
          <w:b/>
          <w:bCs/>
          <w:i/>
          <w:u w:val="single"/>
        </w:rPr>
        <w:t>valuation</w:t>
      </w:r>
      <w:r w:rsidR="007803A9">
        <w:rPr>
          <w:b/>
          <w:bCs/>
          <w:i/>
          <w:u w:val="single"/>
        </w:rPr>
        <w:t> :</w:t>
      </w:r>
    </w:p>
    <w:p w:rsidR="007F0ADB" w:rsidRPr="006D7522" w:rsidRDefault="00D04DEB" w:rsidP="00D04DEB">
      <w:pPr>
        <w:tabs>
          <w:tab w:val="left" w:pos="1277"/>
        </w:tabs>
        <w:rPr>
          <w:rFonts w:ascii="Gill Sans MT" w:hAnsi="Gill Sans MT"/>
          <w:sz w:val="24"/>
          <w:szCs w:val="24"/>
        </w:rPr>
      </w:pPr>
      <w:bookmarkStart w:id="1" w:name="_GoBack"/>
      <w:bookmarkEnd w:id="1"/>
      <w:r w:rsidRPr="00D04DEB">
        <w:t>Bilan annuel d’activité du CSTH</w:t>
      </w:r>
      <w:bookmarkEnd w:id="0"/>
    </w:p>
    <w:p w:rsidR="000B7276" w:rsidRPr="007F0ADB" w:rsidRDefault="000B7276" w:rsidP="007F0ADB">
      <w:pPr>
        <w:tabs>
          <w:tab w:val="left" w:pos="990"/>
        </w:tabs>
      </w:pPr>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52773B" w:rsidP="007F0ADB">
    <w:pPr>
      <w:pStyle w:val="Pieddepage"/>
    </w:pPr>
    <w:r w:rsidRPr="0052773B">
      <w:rPr>
        <w:rFonts w:ascii="Arial" w:hAnsi="Arial" w:cs="Arial"/>
        <w:i/>
        <w:color w:val="000080"/>
        <w:sz w:val="12"/>
        <w:szCs w:val="16"/>
      </w:rPr>
      <w:t>HVCVL/HAD/TRANSFUSION/MODALITE-TRANSFUSION/EXPLORATION-IH-PRE-TRANSFUSIONNEL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483C7EBE"/>
    <w:name w:val="WWNum58"/>
    <w:lvl w:ilvl="0">
      <w:start w:val="1"/>
      <w:numFmt w:val="bullet"/>
      <w:lvlText w:val=""/>
      <w:lvlJc w:val="left"/>
      <w:pPr>
        <w:tabs>
          <w:tab w:val="num" w:pos="0"/>
        </w:tabs>
        <w:ind w:left="720" w:hanging="360"/>
      </w:pPr>
      <w:rPr>
        <w:rFonts w:ascii="Wingdings" w:hAnsi="Wingdings"/>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3"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5"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6" w15:restartNumberingAfterBreak="0">
    <w:nsid w:val="14873E01"/>
    <w:multiLevelType w:val="hybridMultilevel"/>
    <w:tmpl w:val="F61290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8"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9"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1" w15:restartNumberingAfterBreak="0">
    <w:nsid w:val="236D4237"/>
    <w:multiLevelType w:val="hybridMultilevel"/>
    <w:tmpl w:val="FFA6213C"/>
    <w:lvl w:ilvl="0" w:tplc="040C000B">
      <w:start w:val="1"/>
      <w:numFmt w:val="bullet"/>
      <w:lvlText w:val=""/>
      <w:lvlJc w:val="left"/>
      <w:pPr>
        <w:ind w:left="1080" w:hanging="360"/>
      </w:pPr>
      <w:rPr>
        <w:rFonts w:ascii="Wingdings" w:hAnsi="Wingdings"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5"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5F030B"/>
    <w:multiLevelType w:val="hybridMultilevel"/>
    <w:tmpl w:val="DF6CE442"/>
    <w:lvl w:ilvl="0" w:tplc="DA3AA458">
      <w:numFmt w:val="bullet"/>
      <w:lvlText w:val="-"/>
      <w:lvlJc w:val="left"/>
      <w:pPr>
        <w:ind w:left="1080" w:hanging="360"/>
      </w:pPr>
      <w:rPr>
        <w:rFonts w:ascii="Calibri" w:eastAsia="Times New Roman" w:hAnsi="Calibri" w:cs="Times New Roman"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2" w15:restartNumberingAfterBreak="0">
    <w:nsid w:val="4FF93A13"/>
    <w:multiLevelType w:val="multilevel"/>
    <w:tmpl w:val="64B84E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E424EE"/>
    <w:multiLevelType w:val="hybridMultilevel"/>
    <w:tmpl w:val="5B9AAAE0"/>
    <w:lvl w:ilvl="0" w:tplc="77BAAF60">
      <w:start w:val="1"/>
      <w:numFmt w:val="bullet"/>
      <w:lvlText w:val="•"/>
      <w:lvlJc w:val="left"/>
      <w:pPr>
        <w:tabs>
          <w:tab w:val="num" w:pos="720"/>
        </w:tabs>
        <w:ind w:left="720" w:hanging="360"/>
      </w:pPr>
      <w:rPr>
        <w:rFonts w:ascii="Arial" w:hAnsi="Arial" w:hint="default"/>
      </w:rPr>
    </w:lvl>
    <w:lvl w:ilvl="1" w:tplc="C6287A4E">
      <w:numFmt w:val="bullet"/>
      <w:lvlText w:val=" "/>
      <w:lvlJc w:val="left"/>
      <w:pPr>
        <w:tabs>
          <w:tab w:val="num" w:pos="1440"/>
        </w:tabs>
        <w:ind w:left="1440" w:hanging="360"/>
      </w:pPr>
      <w:rPr>
        <w:rFonts w:ascii="Times New Roman" w:hAnsi="Times New Roman" w:hint="default"/>
      </w:rPr>
    </w:lvl>
    <w:lvl w:ilvl="2" w:tplc="DA3AA458">
      <w:numFmt w:val="bullet"/>
      <w:lvlText w:val="-"/>
      <w:lvlJc w:val="left"/>
      <w:pPr>
        <w:tabs>
          <w:tab w:val="num" w:pos="2160"/>
        </w:tabs>
        <w:ind w:left="2160" w:hanging="360"/>
      </w:pPr>
      <w:rPr>
        <w:rFonts w:ascii="Calibri" w:eastAsia="Times New Roman" w:hAnsi="Calibri" w:cs="Times New Roman" w:hint="default"/>
        <w:color w:val="000000"/>
        <w:sz w:val="24"/>
      </w:rPr>
    </w:lvl>
    <w:lvl w:ilvl="3" w:tplc="7C4C0410">
      <w:numFmt w:val="bullet"/>
      <w:lvlText w:val="•"/>
      <w:lvlJc w:val="left"/>
      <w:pPr>
        <w:ind w:left="2880" w:hanging="360"/>
      </w:pPr>
      <w:rPr>
        <w:rFonts w:ascii="Calibri" w:eastAsia="Times New Roman" w:hAnsi="Calibri" w:cs="Arial" w:hint="default"/>
      </w:rPr>
    </w:lvl>
    <w:lvl w:ilvl="4" w:tplc="23E8FC0A" w:tentative="1">
      <w:start w:val="1"/>
      <w:numFmt w:val="bullet"/>
      <w:lvlText w:val=" "/>
      <w:lvlJc w:val="left"/>
      <w:pPr>
        <w:tabs>
          <w:tab w:val="num" w:pos="3600"/>
        </w:tabs>
        <w:ind w:left="3600" w:hanging="360"/>
      </w:pPr>
      <w:rPr>
        <w:rFonts w:ascii="Times New Roman" w:hAnsi="Times New Roman" w:hint="default"/>
      </w:rPr>
    </w:lvl>
    <w:lvl w:ilvl="5" w:tplc="A60E0FDC" w:tentative="1">
      <w:start w:val="1"/>
      <w:numFmt w:val="bullet"/>
      <w:lvlText w:val=" "/>
      <w:lvlJc w:val="left"/>
      <w:pPr>
        <w:tabs>
          <w:tab w:val="num" w:pos="4320"/>
        </w:tabs>
        <w:ind w:left="4320" w:hanging="360"/>
      </w:pPr>
      <w:rPr>
        <w:rFonts w:ascii="Times New Roman" w:hAnsi="Times New Roman" w:hint="default"/>
      </w:rPr>
    </w:lvl>
    <w:lvl w:ilvl="6" w:tplc="E63E79C0" w:tentative="1">
      <w:start w:val="1"/>
      <w:numFmt w:val="bullet"/>
      <w:lvlText w:val=" "/>
      <w:lvlJc w:val="left"/>
      <w:pPr>
        <w:tabs>
          <w:tab w:val="num" w:pos="5040"/>
        </w:tabs>
        <w:ind w:left="5040" w:hanging="360"/>
      </w:pPr>
      <w:rPr>
        <w:rFonts w:ascii="Times New Roman" w:hAnsi="Times New Roman" w:hint="default"/>
      </w:rPr>
    </w:lvl>
    <w:lvl w:ilvl="7" w:tplc="3E4C34AA" w:tentative="1">
      <w:start w:val="1"/>
      <w:numFmt w:val="bullet"/>
      <w:lvlText w:val=" "/>
      <w:lvlJc w:val="left"/>
      <w:pPr>
        <w:tabs>
          <w:tab w:val="num" w:pos="5760"/>
        </w:tabs>
        <w:ind w:left="5760" w:hanging="360"/>
      </w:pPr>
      <w:rPr>
        <w:rFonts w:ascii="Times New Roman" w:hAnsi="Times New Roman" w:hint="default"/>
      </w:rPr>
    </w:lvl>
    <w:lvl w:ilvl="8" w:tplc="E83CC654" w:tentative="1">
      <w:start w:val="1"/>
      <w:numFmt w:val="bullet"/>
      <w:lvlText w:val=" "/>
      <w:lvlJc w:val="left"/>
      <w:pPr>
        <w:tabs>
          <w:tab w:val="num" w:pos="6480"/>
        </w:tabs>
        <w:ind w:left="6480" w:hanging="360"/>
      </w:pPr>
      <w:rPr>
        <w:rFonts w:ascii="Times New Roman" w:hAnsi="Times New Roman" w:hint="default"/>
      </w:rPr>
    </w:lvl>
  </w:abstractNum>
  <w:abstractNum w:abstractNumId="26"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8" w15:restartNumberingAfterBreak="0">
    <w:nsid w:val="65066204"/>
    <w:multiLevelType w:val="hybridMultilevel"/>
    <w:tmpl w:val="F8E28BA0"/>
    <w:lvl w:ilvl="0" w:tplc="040C000B">
      <w:start w:val="1"/>
      <w:numFmt w:val="bullet"/>
      <w:lvlText w:val=""/>
      <w:lvlJc w:val="left"/>
      <w:pPr>
        <w:ind w:left="1080" w:hanging="360"/>
      </w:pPr>
      <w:rPr>
        <w:rFonts w:ascii="Wingdings" w:hAnsi="Wingdings"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5CF71CF"/>
    <w:multiLevelType w:val="hybridMultilevel"/>
    <w:tmpl w:val="D8B2A5CA"/>
    <w:lvl w:ilvl="0" w:tplc="040C000B">
      <w:start w:val="1"/>
      <w:numFmt w:val="bullet"/>
      <w:lvlText w:val=""/>
      <w:lvlJc w:val="left"/>
      <w:pPr>
        <w:ind w:left="1080" w:hanging="360"/>
      </w:pPr>
      <w:rPr>
        <w:rFonts w:ascii="Wingdings" w:hAnsi="Wingdings"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3"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9232C8"/>
    <w:multiLevelType w:val="hybridMultilevel"/>
    <w:tmpl w:val="BB400950"/>
    <w:lvl w:ilvl="0" w:tplc="3E0EF9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30"/>
  </w:num>
  <w:num w:numId="4">
    <w:abstractNumId w:val="23"/>
  </w:num>
  <w:num w:numId="5">
    <w:abstractNumId w:val="26"/>
  </w:num>
  <w:num w:numId="6">
    <w:abstractNumId w:val="3"/>
  </w:num>
  <w:num w:numId="7">
    <w:abstractNumId w:val="15"/>
  </w:num>
  <w:num w:numId="8">
    <w:abstractNumId w:val="13"/>
  </w:num>
  <w:num w:numId="9">
    <w:abstractNumId w:val="24"/>
  </w:num>
  <w:num w:numId="10">
    <w:abstractNumId w:val="5"/>
  </w:num>
  <w:num w:numId="11">
    <w:abstractNumId w:val="8"/>
  </w:num>
  <w:num w:numId="12">
    <w:abstractNumId w:val="21"/>
  </w:num>
  <w:num w:numId="13">
    <w:abstractNumId w:val="4"/>
  </w:num>
  <w:num w:numId="14">
    <w:abstractNumId w:val="18"/>
  </w:num>
  <w:num w:numId="15">
    <w:abstractNumId w:val="33"/>
  </w:num>
  <w:num w:numId="16">
    <w:abstractNumId w:val="19"/>
  </w:num>
  <w:num w:numId="17">
    <w:abstractNumId w:val="12"/>
  </w:num>
  <w:num w:numId="18">
    <w:abstractNumId w:val="7"/>
  </w:num>
  <w:num w:numId="19">
    <w:abstractNumId w:val="27"/>
  </w:num>
  <w:num w:numId="20">
    <w:abstractNumId w:val="31"/>
  </w:num>
  <w:num w:numId="21">
    <w:abstractNumId w:val="2"/>
  </w:num>
  <w:num w:numId="22">
    <w:abstractNumId w:val="16"/>
  </w:num>
  <w:num w:numId="23">
    <w:abstractNumId w:val="32"/>
  </w:num>
  <w:num w:numId="24">
    <w:abstractNumId w:val="10"/>
  </w:num>
  <w:num w:numId="25">
    <w:abstractNumId w:val="25"/>
  </w:num>
  <w:num w:numId="26">
    <w:abstractNumId w:val="9"/>
  </w:num>
  <w:num w:numId="27">
    <w:abstractNumId w:val="28"/>
  </w:num>
  <w:num w:numId="28">
    <w:abstractNumId w:val="22"/>
  </w:num>
  <w:num w:numId="29">
    <w:abstractNumId w:val="11"/>
  </w:num>
  <w:num w:numId="30">
    <w:abstractNumId w:val="29"/>
  </w:num>
  <w:num w:numId="31">
    <w:abstractNumId w:val="17"/>
  </w:num>
  <w:num w:numId="32">
    <w:abstractNumId w:val="34"/>
  </w:num>
  <w:num w:numId="33">
    <w:abstractNumId w:val="14"/>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86CD5"/>
    <w:rsid w:val="001F6AB9"/>
    <w:rsid w:val="0025104A"/>
    <w:rsid w:val="00273F0A"/>
    <w:rsid w:val="0029033F"/>
    <w:rsid w:val="002A07E7"/>
    <w:rsid w:val="0033287C"/>
    <w:rsid w:val="0034566B"/>
    <w:rsid w:val="003F109A"/>
    <w:rsid w:val="00470594"/>
    <w:rsid w:val="00526625"/>
    <w:rsid w:val="0052773B"/>
    <w:rsid w:val="00554F14"/>
    <w:rsid w:val="005B050B"/>
    <w:rsid w:val="0061450D"/>
    <w:rsid w:val="006754D0"/>
    <w:rsid w:val="00734F1B"/>
    <w:rsid w:val="00745E20"/>
    <w:rsid w:val="007803A9"/>
    <w:rsid w:val="007C1278"/>
    <w:rsid w:val="007F0ADB"/>
    <w:rsid w:val="008F0DC7"/>
    <w:rsid w:val="00936547"/>
    <w:rsid w:val="00982855"/>
    <w:rsid w:val="009E7C8D"/>
    <w:rsid w:val="00A80F10"/>
    <w:rsid w:val="00A84185"/>
    <w:rsid w:val="00B432ED"/>
    <w:rsid w:val="00B7265B"/>
    <w:rsid w:val="00BC63D7"/>
    <w:rsid w:val="00C1319D"/>
    <w:rsid w:val="00C331EA"/>
    <w:rsid w:val="00C80EFE"/>
    <w:rsid w:val="00CA2275"/>
    <w:rsid w:val="00CE47D1"/>
    <w:rsid w:val="00D04DEB"/>
    <w:rsid w:val="00D0718D"/>
    <w:rsid w:val="00D34273"/>
    <w:rsid w:val="00D806C2"/>
    <w:rsid w:val="00DC36D8"/>
    <w:rsid w:val="00E01806"/>
    <w:rsid w:val="00E2356D"/>
    <w:rsid w:val="00E365BE"/>
    <w:rsid w:val="00E71160"/>
    <w:rsid w:val="00E77183"/>
    <w:rsid w:val="00F3500B"/>
    <w:rsid w:val="00FC530B"/>
    <w:rsid w:val="00FE7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B82224"/>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2773B"/>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527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52773B"/>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5277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958</Words>
  <Characters>5273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29</cp:revision>
  <dcterms:created xsi:type="dcterms:W3CDTF">2020-10-16T12:52:00Z</dcterms:created>
  <dcterms:modified xsi:type="dcterms:W3CDTF">2022-01-04T10:31:00Z</dcterms:modified>
</cp:coreProperties>
</file>