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CA2275" w:rsidP="00AB5993">
            <w:r>
              <w:rPr>
                <w:sz w:val="24"/>
              </w:rPr>
              <w:t>HVCVL/HAD/TRANSFUSION/</w:t>
            </w:r>
            <w:r w:rsidR="00AB5993">
              <w:rPr>
                <w:sz w:val="24"/>
              </w:rPr>
              <w:t>HEMOVIGILAN</w:t>
            </w:r>
            <w:r w:rsidR="00906F2F">
              <w:rPr>
                <w:sz w:val="24"/>
              </w:rPr>
              <w:t>CE/SECURITE-TRANSFUSIONNELLE</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CA2275">
              <w:rPr>
                <w:b w:val="0"/>
                <w:sz w:val="18"/>
              </w:rPr>
              <w:t>12/2021</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CA2275">
              <w:rPr>
                <w:b w:val="0"/>
                <w:sz w:val="18"/>
              </w:rPr>
              <w:t>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CA2275">
              <w:rPr>
                <w:b w:val="0"/>
                <w:sz w:val="18"/>
              </w:rPr>
              <w:t>01</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AB5993" w:rsidP="00FC530B">
                            <w:pPr>
                              <w:rPr>
                                <w:b/>
                                <w:sz w:val="28"/>
                              </w:rPr>
                            </w:pPr>
                            <w:r>
                              <w:rPr>
                                <w:b/>
                                <w:sz w:val="28"/>
                              </w:rPr>
                              <w:t>Hémovigilance et</w:t>
                            </w:r>
                            <w:r w:rsidR="00906F2F">
                              <w:rPr>
                                <w:b/>
                                <w:sz w:val="28"/>
                              </w:rPr>
                              <w:t xml:space="preserve"> sécurité transfusionnelle </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AB5993" w:rsidP="00FC530B">
                      <w:pPr>
                        <w:rPr>
                          <w:b/>
                          <w:sz w:val="28"/>
                        </w:rPr>
                      </w:pPr>
                      <w:r>
                        <w:rPr>
                          <w:b/>
                          <w:sz w:val="28"/>
                        </w:rPr>
                        <w:t>Hémovigilance et</w:t>
                      </w:r>
                      <w:r w:rsidR="00906F2F">
                        <w:rPr>
                          <w:b/>
                          <w:sz w:val="28"/>
                        </w:rPr>
                        <w:t xml:space="preserve"> sécurité transfusionnelle </w:t>
                      </w:r>
                      <w:r w:rsidR="00FC530B" w:rsidRPr="00FC530B">
                        <w:rPr>
                          <w:b/>
                          <w:sz w:val="28"/>
                        </w:rPr>
                        <w:t xml:space="preserve"> </w:t>
                      </w:r>
                    </w:p>
                  </w:txbxContent>
                </v:textbox>
                <w10:wrap anchorx="margin"/>
              </v:rect>
            </w:pict>
          </mc:Fallback>
        </mc:AlternateContent>
      </w:r>
    </w:p>
    <w:p w:rsidR="00470594" w:rsidRDefault="00470594"/>
    <w:p w:rsidR="00470594" w:rsidRPr="00E77183" w:rsidRDefault="00E77183">
      <w:pPr>
        <w:rPr>
          <w:b/>
          <w:i/>
        </w:rPr>
      </w:pPr>
      <w:r w:rsidRPr="00E77183">
        <w:rPr>
          <w:b/>
          <w:i/>
          <w:u w:val="single"/>
        </w:rPr>
        <w:t>Objectifs</w:t>
      </w:r>
      <w:r w:rsidRPr="00E77183">
        <w:rPr>
          <w:b/>
          <w:i/>
        </w:rPr>
        <w:t> :</w:t>
      </w:r>
    </w:p>
    <w:p w:rsidR="00AB5993" w:rsidRPr="00235E99" w:rsidRDefault="00AB5993" w:rsidP="00AB5993">
      <w:pPr>
        <w:pStyle w:val="Paragraphedeliste"/>
        <w:numPr>
          <w:ilvl w:val="0"/>
          <w:numId w:val="11"/>
        </w:numPr>
        <w:spacing w:after="0" w:line="216" w:lineRule="auto"/>
        <w:ind w:left="709"/>
        <w:jc w:val="both"/>
        <w:rPr>
          <w:rFonts w:ascii="Gill Sans MT" w:hAnsi="Gill Sans MT"/>
        </w:rPr>
      </w:pPr>
      <w:r w:rsidRPr="00235E99">
        <w:rPr>
          <w:rFonts w:ascii="Gill Sans MT" w:eastAsiaTheme="minorEastAsia" w:hAnsi="Gill Sans MT"/>
          <w:color w:val="000000" w:themeColor="text1"/>
          <w:kern w:val="24"/>
        </w:rPr>
        <w:t xml:space="preserve">Cette procédure a pour objet de préciser les éléments organisationnels de l’hémovigilance et de la gestion du risque transfusionnel à l’HAD </w:t>
      </w:r>
    </w:p>
    <w:p w:rsidR="009F1778" w:rsidRDefault="009F1778" w:rsidP="00AB5993">
      <w:pPr>
        <w:pStyle w:val="Paragraphedeliste"/>
        <w:ind w:left="709"/>
      </w:pPr>
    </w:p>
    <w:p w:rsidR="00F51D5B" w:rsidRPr="00AB5993" w:rsidRDefault="00AB5993" w:rsidP="00AB5993">
      <w:pPr>
        <w:rPr>
          <w:b/>
          <w:i/>
          <w:u w:val="single"/>
        </w:rPr>
      </w:pPr>
      <w:r w:rsidRPr="00AB5993">
        <w:rPr>
          <w:b/>
          <w:i/>
          <w:u w:val="single"/>
        </w:rPr>
        <w:t>Domaine d’application</w:t>
      </w:r>
      <w:r w:rsidRPr="00AB5993">
        <w:rPr>
          <w:b/>
          <w:i/>
        </w:rPr>
        <w:t> :</w:t>
      </w:r>
    </w:p>
    <w:p w:rsidR="00AB5993" w:rsidRDefault="00AB5993" w:rsidP="006B4A2F">
      <w:pPr>
        <w:pStyle w:val="Paragraphedeliste"/>
        <w:ind w:left="709"/>
      </w:pPr>
      <w:r>
        <w:t xml:space="preserve">HAD </w:t>
      </w:r>
    </w:p>
    <w:p w:rsidR="00AB5993" w:rsidRDefault="00AB5993" w:rsidP="006B4A2F">
      <w:pPr>
        <w:pStyle w:val="Paragraphedeliste"/>
        <w:ind w:left="709"/>
      </w:pPr>
      <w:r>
        <w:t>Activité transfusionnelle</w:t>
      </w:r>
    </w:p>
    <w:p w:rsidR="00906F2F" w:rsidRDefault="00906F2F" w:rsidP="00AB5993">
      <w:pPr>
        <w:pStyle w:val="Paragraphedeliste"/>
        <w:ind w:left="709"/>
      </w:pPr>
    </w:p>
    <w:p w:rsidR="006B4A2F" w:rsidRDefault="006B4A2F" w:rsidP="006B4A2F">
      <w:r w:rsidRPr="00E77183">
        <w:rPr>
          <w:b/>
          <w:i/>
          <w:u w:val="single"/>
        </w:rPr>
        <w:t>Textes de références</w:t>
      </w:r>
      <w:r>
        <w:t> :</w:t>
      </w:r>
    </w:p>
    <w:p w:rsidR="006B4A2F" w:rsidRDefault="006B4A2F" w:rsidP="006B4A2F">
      <w:pPr>
        <w:pStyle w:val="Paragraphedeliste"/>
        <w:numPr>
          <w:ilvl w:val="0"/>
          <w:numId w:val="13"/>
        </w:numPr>
        <w:suppressAutoHyphens/>
        <w:autoSpaceDE w:val="0"/>
        <w:autoSpaceDN w:val="0"/>
        <w:adjustRightInd w:val="0"/>
        <w:ind w:left="709"/>
        <w:rPr>
          <w:bCs/>
        </w:rPr>
      </w:pPr>
      <w:r>
        <w:t xml:space="preserve"> </w:t>
      </w:r>
      <w:r w:rsidRPr="00AB5993">
        <w:rPr>
          <w:b/>
          <w:bCs/>
        </w:rPr>
        <w:t xml:space="preserve">Loi n° 93-5 du 4 janvier 1993 </w:t>
      </w:r>
      <w:r w:rsidRPr="00AB5993">
        <w:rPr>
          <w:bCs/>
        </w:rPr>
        <w:t>relative à la sécurité en matière de transfusion sanguine et de médicament (création hémovigilance)</w:t>
      </w:r>
    </w:p>
    <w:p w:rsidR="006B4A2F" w:rsidRPr="00AB5993" w:rsidRDefault="006B4A2F" w:rsidP="006B4A2F">
      <w:pPr>
        <w:pStyle w:val="Paragraphedeliste"/>
        <w:numPr>
          <w:ilvl w:val="0"/>
          <w:numId w:val="13"/>
        </w:numPr>
        <w:suppressAutoHyphens/>
        <w:autoSpaceDE w:val="0"/>
        <w:autoSpaceDN w:val="0"/>
        <w:adjustRightInd w:val="0"/>
        <w:ind w:left="709"/>
        <w:rPr>
          <w:bCs/>
        </w:rPr>
      </w:pPr>
      <w:r w:rsidRPr="00AB5993">
        <w:rPr>
          <w:b/>
        </w:rPr>
        <w:t>Article R1221-23 - Code de la Santé Publique</w:t>
      </w:r>
      <w:r w:rsidRPr="00AB5993">
        <w:rPr>
          <w:b/>
          <w:bCs/>
        </w:rPr>
        <w:t xml:space="preserve"> / </w:t>
      </w:r>
      <w:r w:rsidRPr="00AB5993">
        <w:rPr>
          <w:bCs/>
        </w:rPr>
        <w:t>Définition Effet Indésirable</w:t>
      </w:r>
      <w:r w:rsidRPr="00AB5993">
        <w:t> Receveur</w:t>
      </w:r>
    </w:p>
    <w:p w:rsidR="006B4A2F" w:rsidRPr="00906F2F" w:rsidRDefault="006B4A2F" w:rsidP="006B4A2F">
      <w:pPr>
        <w:pStyle w:val="Paragraphedeliste"/>
        <w:numPr>
          <w:ilvl w:val="0"/>
          <w:numId w:val="13"/>
        </w:numPr>
        <w:suppressAutoHyphens/>
        <w:autoSpaceDE w:val="0"/>
        <w:autoSpaceDN w:val="0"/>
        <w:adjustRightInd w:val="0"/>
        <w:ind w:left="709"/>
        <w:rPr>
          <w:b/>
        </w:rPr>
      </w:pPr>
      <w:r w:rsidRPr="00906F2F">
        <w:rPr>
          <w:bCs/>
        </w:rPr>
        <w:t xml:space="preserve">L’établissement de santé déclarant l’EFFET INDÉSIRABLE RECEVEUR est celui dans lequel a (ou ont) été administré(s) le (ou les) PSL suspecté(s), </w:t>
      </w:r>
      <w:r w:rsidRPr="00906F2F">
        <w:t>conformément</w:t>
      </w:r>
      <w:r w:rsidRPr="00AB5993">
        <w:rPr>
          <w:b/>
        </w:rPr>
        <w:t xml:space="preserve"> à l’article R1221-49 du CSP</w:t>
      </w:r>
    </w:p>
    <w:p w:rsidR="006B4A2F" w:rsidRPr="00906F2F" w:rsidRDefault="006B4A2F" w:rsidP="006B4A2F">
      <w:pPr>
        <w:pStyle w:val="Paragraphedeliste"/>
        <w:numPr>
          <w:ilvl w:val="0"/>
          <w:numId w:val="13"/>
        </w:numPr>
        <w:suppressAutoHyphens/>
        <w:autoSpaceDE w:val="0"/>
        <w:autoSpaceDN w:val="0"/>
        <w:adjustRightInd w:val="0"/>
        <w:ind w:left="709"/>
      </w:pPr>
      <w:r w:rsidRPr="00906F2F">
        <w:rPr>
          <w:bCs/>
        </w:rPr>
        <w:t xml:space="preserve">Tout professionnel de santé </w:t>
      </w:r>
      <w:r w:rsidRPr="00906F2F">
        <w:t xml:space="preserve">qui </w:t>
      </w:r>
      <w:r w:rsidRPr="00906F2F">
        <w:rPr>
          <w:bCs/>
        </w:rPr>
        <w:t xml:space="preserve">constate ou a connaissance </w:t>
      </w:r>
      <w:r w:rsidRPr="00906F2F">
        <w:t xml:space="preserve">d'un effet indésirable survenu chez un receveur de produits sanguins labiles </w:t>
      </w:r>
      <w:r w:rsidRPr="00906F2F">
        <w:rPr>
          <w:bCs/>
        </w:rPr>
        <w:t>le signale au correspondant d'hémovigilance de l'établissement de santé dans lequel a été administré le produit Sans délai et au plus tard dans les 48 heures ouvrables pour les fiches "signalées" d'effets indésirables  </w:t>
      </w:r>
      <w:r w:rsidRPr="00906F2F">
        <w:t xml:space="preserve"> tels que les EIR de grade &gt;1, les IBTT et les accid</w:t>
      </w:r>
      <w:r>
        <w:t>ents ABO quel que soit le grade</w:t>
      </w:r>
    </w:p>
    <w:p w:rsidR="006B4A2F" w:rsidRPr="00906F2F" w:rsidRDefault="006B4A2F" w:rsidP="006B4A2F">
      <w:pPr>
        <w:pStyle w:val="Paragraphedeliste"/>
        <w:numPr>
          <w:ilvl w:val="0"/>
          <w:numId w:val="13"/>
        </w:numPr>
        <w:suppressAutoHyphens/>
        <w:autoSpaceDE w:val="0"/>
        <w:autoSpaceDN w:val="0"/>
        <w:adjustRightInd w:val="0"/>
        <w:ind w:left="709"/>
      </w:pPr>
      <w:r w:rsidRPr="00906F2F">
        <w:rPr>
          <w:bCs/>
        </w:rPr>
        <w:t xml:space="preserve">Dans un délai maximal de 15 jours ouvrables </w:t>
      </w:r>
      <w:r w:rsidRPr="00906F2F">
        <w:t>pour parachever les investig</w:t>
      </w:r>
      <w:r>
        <w:t>ations pour tous les autres EIR</w:t>
      </w:r>
    </w:p>
    <w:p w:rsidR="006B4A2F" w:rsidRPr="00906F2F" w:rsidRDefault="006B4A2F" w:rsidP="006B4A2F">
      <w:pPr>
        <w:pStyle w:val="Paragraphedeliste"/>
        <w:numPr>
          <w:ilvl w:val="0"/>
          <w:numId w:val="13"/>
        </w:numPr>
        <w:suppressAutoHyphens/>
        <w:autoSpaceDE w:val="0"/>
        <w:autoSpaceDN w:val="0"/>
        <w:adjustRightInd w:val="0"/>
        <w:ind w:left="709"/>
      </w:pPr>
      <w:r w:rsidRPr="00906F2F">
        <w:rPr>
          <w:bCs/>
        </w:rPr>
        <w:t>A défaut de pouvoir le joindre</w:t>
      </w:r>
      <w:r w:rsidRPr="00906F2F">
        <w:t>, il le signale à tout correspondant d'hémovigilance d'un établissement de transfusion sanguine, qui transmet cette information au correspo</w:t>
      </w:r>
      <w:r>
        <w:t>ndant d'hémovigilance compétent</w:t>
      </w:r>
    </w:p>
    <w:p w:rsidR="006B4A2F" w:rsidRPr="00906F2F" w:rsidRDefault="006B4A2F" w:rsidP="006B4A2F">
      <w:pPr>
        <w:pStyle w:val="Paragraphedeliste"/>
        <w:numPr>
          <w:ilvl w:val="0"/>
          <w:numId w:val="13"/>
        </w:numPr>
        <w:suppressAutoHyphens/>
        <w:autoSpaceDE w:val="0"/>
        <w:autoSpaceDN w:val="0"/>
        <w:adjustRightInd w:val="0"/>
        <w:ind w:left="709"/>
      </w:pPr>
      <w:r w:rsidRPr="00906F2F">
        <w:t xml:space="preserve">Le correspondant d'hémovigilance de l'établissement de santé dans lequel a eu lieu </w:t>
      </w:r>
      <w:r w:rsidRPr="00906F2F">
        <w:rPr>
          <w:bCs/>
        </w:rPr>
        <w:t>l'administration du produit en cause procède aux investigations et examens appro</w:t>
      </w:r>
      <w:r>
        <w:rPr>
          <w:bCs/>
        </w:rPr>
        <w:t>priés dans le service concerné</w:t>
      </w:r>
    </w:p>
    <w:p w:rsidR="006B4A2F" w:rsidRPr="00906F2F" w:rsidRDefault="006B4A2F" w:rsidP="006B4A2F">
      <w:pPr>
        <w:pStyle w:val="Paragraphedeliste"/>
        <w:numPr>
          <w:ilvl w:val="0"/>
          <w:numId w:val="13"/>
        </w:numPr>
        <w:suppressAutoHyphens/>
        <w:autoSpaceDE w:val="0"/>
        <w:autoSpaceDN w:val="0"/>
        <w:adjustRightInd w:val="0"/>
        <w:ind w:left="709"/>
      </w:pPr>
      <w:r w:rsidRPr="00906F2F">
        <w:t xml:space="preserve">Il informe </w:t>
      </w:r>
      <w:r w:rsidRPr="00906F2F">
        <w:rPr>
          <w:bCs/>
        </w:rPr>
        <w:t xml:space="preserve">le correspondant de l'établissement de transfusion sanguine référent et formalise, en concertation avec lui </w:t>
      </w:r>
      <w:r w:rsidRPr="00906F2F">
        <w:rPr>
          <w:i/>
          <w:iCs/>
        </w:rPr>
        <w:t>(§3.5 EI pouvant impliquer d’autres receveurs, devenir des autres PSL issus du même don et information du LFB</w:t>
      </w:r>
      <w:r w:rsidRPr="00906F2F">
        <w:t>) la déclaration d'effet indésirable survenu chez un receveur qui devra êt</w:t>
      </w:r>
      <w:r>
        <w:t>re rattachée au dossier patient</w:t>
      </w:r>
    </w:p>
    <w:p w:rsidR="006B4A2F" w:rsidRPr="00906F2F" w:rsidRDefault="006B4A2F" w:rsidP="006B4A2F">
      <w:pPr>
        <w:pStyle w:val="Paragraphedeliste"/>
        <w:numPr>
          <w:ilvl w:val="0"/>
          <w:numId w:val="13"/>
        </w:numPr>
        <w:suppressAutoHyphens/>
        <w:autoSpaceDE w:val="0"/>
        <w:autoSpaceDN w:val="0"/>
        <w:adjustRightInd w:val="0"/>
        <w:ind w:left="709"/>
      </w:pPr>
      <w:r w:rsidRPr="00906F2F">
        <w:rPr>
          <w:bCs/>
        </w:rPr>
        <w:t xml:space="preserve">Sans délai </w:t>
      </w:r>
      <w:r w:rsidRPr="00906F2F">
        <w:t xml:space="preserve">: En cas de </w:t>
      </w:r>
      <w:r w:rsidRPr="00906F2F">
        <w:rPr>
          <w:bCs/>
        </w:rPr>
        <w:t xml:space="preserve">décès associé </w:t>
      </w:r>
      <w:r w:rsidRPr="00906F2F">
        <w:t xml:space="preserve">(receveur de produits sanguins labiles ou donneur de </w:t>
      </w:r>
      <w:proofErr w:type="gramStart"/>
      <w:r w:rsidRPr="00906F2F">
        <w:t>sang</w:t>
      </w:r>
      <w:proofErr w:type="gramEnd"/>
      <w:r w:rsidRPr="00906F2F">
        <w:t xml:space="preserve">) ou de mise en </w:t>
      </w:r>
      <w:r w:rsidRPr="00906F2F">
        <w:rPr>
          <w:bCs/>
        </w:rPr>
        <w:t>jeu de la sécurité transfusionnelle ou de l’approvisionnement en PSL,</w:t>
      </w:r>
      <w:r w:rsidRPr="00906F2F">
        <w:t xml:space="preserve"> ainsi que dans chaque cas où l’effet </w:t>
      </w:r>
      <w:r w:rsidRPr="00906F2F">
        <w:rPr>
          <w:bCs/>
        </w:rPr>
        <w:t>indésirable grave viendrait à être rendu public ou lorsque le correspondant d’hémovigilance de l’établissement déclarant le juge nécessaire</w:t>
      </w:r>
    </w:p>
    <w:p w:rsidR="006B4A2F" w:rsidRPr="00C3271F" w:rsidRDefault="006B4A2F" w:rsidP="006B4A2F">
      <w:pPr>
        <w:pStyle w:val="Paragraphedeliste"/>
        <w:numPr>
          <w:ilvl w:val="0"/>
          <w:numId w:val="36"/>
        </w:numPr>
        <w:spacing w:after="0" w:line="240" w:lineRule="auto"/>
        <w:ind w:left="709"/>
      </w:pPr>
      <w:r w:rsidRPr="00C3271F">
        <w:rPr>
          <w:rFonts w:cstheme="minorHAnsi"/>
        </w:rPr>
        <w:t>Décision du 10 mars 2020 définissant les principes de bonnes pratiques prévues à l’article 1222-12 du CSP</w:t>
      </w:r>
    </w:p>
    <w:p w:rsidR="006B4A2F" w:rsidRDefault="006B4A2F" w:rsidP="006B4A2F">
      <w:pPr>
        <w:pStyle w:val="Paragraphedeliste"/>
        <w:numPr>
          <w:ilvl w:val="0"/>
          <w:numId w:val="13"/>
        </w:numPr>
        <w:suppressAutoHyphens/>
        <w:autoSpaceDE w:val="0"/>
        <w:autoSpaceDN w:val="0"/>
        <w:adjustRightInd w:val="0"/>
        <w:ind w:left="709"/>
      </w:pPr>
      <w:r w:rsidRPr="008B06CC">
        <w:t xml:space="preserve">Document cadre HAD et transfusion du 20 avril 2018 / SFTS – SFVTT </w:t>
      </w:r>
      <w:r>
        <w:t>–</w:t>
      </w:r>
      <w:r w:rsidRPr="008B06CC">
        <w:t xml:space="preserve"> </w:t>
      </w:r>
      <w:r>
        <w:t>Version actualisée 2021</w:t>
      </w:r>
    </w:p>
    <w:p w:rsidR="006B4A2F" w:rsidRPr="004000E2" w:rsidRDefault="006B4A2F" w:rsidP="006B4A2F">
      <w:pPr>
        <w:pStyle w:val="Paragraphedeliste"/>
        <w:numPr>
          <w:ilvl w:val="0"/>
          <w:numId w:val="13"/>
        </w:numPr>
        <w:suppressAutoHyphens/>
        <w:autoSpaceDE w:val="0"/>
        <w:autoSpaceDN w:val="0"/>
        <w:adjustRightInd w:val="0"/>
        <w:ind w:left="709" w:hanging="284"/>
        <w:rPr>
          <w:bCs/>
        </w:rPr>
      </w:pPr>
      <w:r w:rsidRPr="004000E2">
        <w:rPr>
          <w:bCs/>
        </w:rPr>
        <w:t>Décret N° 2014-1042 du 12 septem</w:t>
      </w:r>
      <w:r>
        <w:rPr>
          <w:bCs/>
        </w:rPr>
        <w:t>bre 2014 relatif au sang humain</w:t>
      </w:r>
    </w:p>
    <w:p w:rsidR="00906F2F" w:rsidRDefault="00906F2F" w:rsidP="00AB5993">
      <w:pPr>
        <w:pStyle w:val="Paragraphedeliste"/>
        <w:ind w:left="709"/>
      </w:pPr>
    </w:p>
    <w:p w:rsidR="006B4A2F" w:rsidRPr="00F51D5B" w:rsidRDefault="006B4A2F" w:rsidP="006B4A2F">
      <w:pPr>
        <w:rPr>
          <w:b/>
        </w:rPr>
      </w:pPr>
      <w:r w:rsidRPr="00F51D5B">
        <w:rPr>
          <w:b/>
          <w:i/>
          <w:u w:val="single"/>
        </w:rPr>
        <w:t>Définitions</w:t>
      </w:r>
      <w:r>
        <w:rPr>
          <w:b/>
        </w:rPr>
        <w:t>:</w:t>
      </w:r>
    </w:p>
    <w:p w:rsidR="006B4A2F" w:rsidRDefault="006B4A2F" w:rsidP="006B4A2F">
      <w:pPr>
        <w:pStyle w:val="Paragraphedeliste"/>
        <w:numPr>
          <w:ilvl w:val="0"/>
          <w:numId w:val="13"/>
        </w:numPr>
        <w:ind w:left="709" w:hanging="283"/>
      </w:pPr>
      <w:r w:rsidRPr="00906F2F">
        <w:rPr>
          <w:b/>
          <w:bCs/>
          <w:u w:val="single"/>
        </w:rPr>
        <w:t>Effet indésirable</w:t>
      </w:r>
      <w:r w:rsidRPr="00906F2F">
        <w:t> (Article R1221-23 CSP) : « </w:t>
      </w:r>
      <w:r w:rsidRPr="00906F2F">
        <w:rPr>
          <w:i/>
        </w:rPr>
        <w:t>Réaction nocive survenue chez les receveurs et liée ou susceptible d'être liée à l'administration d'un produit sanguin labile »</w:t>
      </w:r>
      <w:r w:rsidRPr="00906F2F">
        <w:t xml:space="preserve"> </w:t>
      </w:r>
    </w:p>
    <w:p w:rsidR="006B4A2F" w:rsidRPr="00906F2F" w:rsidRDefault="006B4A2F" w:rsidP="006B4A2F">
      <w:pPr>
        <w:pStyle w:val="Paragraphedeliste"/>
        <w:ind w:left="709"/>
      </w:pPr>
    </w:p>
    <w:p w:rsidR="006B4A2F" w:rsidRPr="00906F2F" w:rsidRDefault="006B4A2F" w:rsidP="006B4A2F">
      <w:pPr>
        <w:pStyle w:val="Paragraphedeliste"/>
        <w:numPr>
          <w:ilvl w:val="0"/>
          <w:numId w:val="13"/>
        </w:numPr>
        <w:ind w:left="709" w:hanging="283"/>
      </w:pPr>
      <w:proofErr w:type="gramStart"/>
      <w:r w:rsidRPr="00906F2F">
        <w:rPr>
          <w:b/>
          <w:bCs/>
          <w:u w:val="single"/>
        </w:rPr>
        <w:t>e</w:t>
      </w:r>
      <w:proofErr w:type="gramEnd"/>
      <w:r w:rsidRPr="00906F2F">
        <w:rPr>
          <w:b/>
          <w:bCs/>
          <w:u w:val="single"/>
        </w:rPr>
        <w:t>-Fit </w:t>
      </w:r>
      <w:r w:rsidRPr="00906F2F">
        <w:rPr>
          <w:b/>
          <w:bCs/>
        </w:rPr>
        <w:t xml:space="preserve">: </w:t>
      </w:r>
      <w:r w:rsidRPr="00906F2F">
        <w:t>service du réseau national d'hémovigilance. Il permet l'enregistrement, le traitement, l'évaluation et l'investigation des incidents transfusionnels. Il contient les publications, annuaires et actualités pour les acteurs du réseau d'hémovigilance français. Ce service dispose d'un accès réservé. Pour s'authentifier, les professionnels de santé concernés doivent posséder un lecteur de carte et une carte CPS/CPA avec mot de passe personnel.</w:t>
      </w:r>
    </w:p>
    <w:p w:rsidR="006B4A2F" w:rsidRPr="00906F2F" w:rsidRDefault="006B4A2F" w:rsidP="006B4A2F">
      <w:r w:rsidRPr="00906F2F">
        <w:rPr>
          <w:b/>
          <w:i/>
          <w:u w:val="single"/>
        </w:rPr>
        <w:t>Abréviations</w:t>
      </w:r>
      <w:r w:rsidRPr="00906F2F">
        <w:rPr>
          <w:b/>
          <w:i/>
        </w:rPr>
        <w:t> </w:t>
      </w:r>
      <w:r w:rsidRPr="00906F2F">
        <w:t>:</w:t>
      </w:r>
    </w:p>
    <w:p w:rsidR="006B4A2F" w:rsidRPr="00906F2F" w:rsidRDefault="006B4A2F" w:rsidP="006B4A2F">
      <w:pPr>
        <w:spacing w:after="0"/>
        <w:ind w:left="426"/>
      </w:pPr>
      <w:r w:rsidRPr="00906F2F">
        <w:rPr>
          <w:b/>
        </w:rPr>
        <w:t>AES</w:t>
      </w:r>
      <w:r w:rsidRPr="00906F2F">
        <w:t xml:space="preserve"> : Accident d’Exposition au Sang</w:t>
      </w:r>
    </w:p>
    <w:p w:rsidR="006B4A2F" w:rsidRPr="00906F2F" w:rsidRDefault="006B4A2F" w:rsidP="006B4A2F">
      <w:pPr>
        <w:spacing w:after="0"/>
        <w:ind w:left="426"/>
      </w:pPr>
      <w:r w:rsidRPr="00906F2F">
        <w:rPr>
          <w:b/>
        </w:rPr>
        <w:t>ANSM</w:t>
      </w:r>
      <w:r w:rsidRPr="00906F2F">
        <w:t> : Agence Nationale de Sécurité du Médicament et des produits de santé</w:t>
      </w:r>
    </w:p>
    <w:p w:rsidR="006B4A2F" w:rsidRPr="00906F2F" w:rsidRDefault="006B4A2F" w:rsidP="006B4A2F">
      <w:pPr>
        <w:spacing w:after="0"/>
        <w:ind w:left="426"/>
      </w:pPr>
      <w:r w:rsidRPr="00906F2F">
        <w:rPr>
          <w:b/>
        </w:rPr>
        <w:t>ARS</w:t>
      </w:r>
      <w:r w:rsidRPr="00906F2F">
        <w:t> : Agence Régionale de Santé</w:t>
      </w:r>
    </w:p>
    <w:p w:rsidR="006B4A2F" w:rsidRPr="00906F2F" w:rsidRDefault="006B4A2F" w:rsidP="006B4A2F">
      <w:pPr>
        <w:spacing w:after="0"/>
        <w:ind w:left="426"/>
      </w:pPr>
      <w:r w:rsidRPr="00906F2F">
        <w:rPr>
          <w:b/>
        </w:rPr>
        <w:t>CGR </w:t>
      </w:r>
      <w:r w:rsidRPr="00906F2F">
        <w:t>: Concentré de Globules Rouges</w:t>
      </w:r>
    </w:p>
    <w:p w:rsidR="006B4A2F" w:rsidRPr="00906F2F" w:rsidRDefault="006B4A2F" w:rsidP="006B4A2F">
      <w:pPr>
        <w:spacing w:after="0"/>
        <w:ind w:left="426"/>
        <w:rPr>
          <w:b/>
        </w:rPr>
      </w:pPr>
      <w:r w:rsidRPr="00906F2F">
        <w:rPr>
          <w:b/>
        </w:rPr>
        <w:t xml:space="preserve">CME : </w:t>
      </w:r>
      <w:r w:rsidRPr="00906F2F">
        <w:t>Commission Médicale d’Etablissement</w:t>
      </w:r>
    </w:p>
    <w:p w:rsidR="006B4A2F" w:rsidRPr="00906F2F" w:rsidRDefault="006B4A2F" w:rsidP="006B4A2F">
      <w:pPr>
        <w:spacing w:after="0"/>
        <w:ind w:left="426"/>
      </w:pPr>
      <w:r w:rsidRPr="00906F2F">
        <w:rPr>
          <w:b/>
        </w:rPr>
        <w:t>CPS</w:t>
      </w:r>
      <w:r w:rsidRPr="00906F2F">
        <w:t> : Carte de Professionnel de Santé</w:t>
      </w:r>
    </w:p>
    <w:p w:rsidR="006B4A2F" w:rsidRPr="00906F2F" w:rsidRDefault="006B4A2F" w:rsidP="006B4A2F">
      <w:pPr>
        <w:spacing w:after="0"/>
        <w:ind w:left="426"/>
      </w:pPr>
      <w:r w:rsidRPr="00906F2F">
        <w:rPr>
          <w:b/>
        </w:rPr>
        <w:t>CRHST</w:t>
      </w:r>
      <w:r w:rsidRPr="00906F2F">
        <w:t> : Coordonnateurs Régionaux d’Hémovigilance et de Sécurité Transfusionnelle</w:t>
      </w:r>
    </w:p>
    <w:p w:rsidR="006B4A2F" w:rsidRPr="00906F2F" w:rsidRDefault="006B4A2F" w:rsidP="006B4A2F">
      <w:pPr>
        <w:spacing w:after="0"/>
        <w:ind w:left="426"/>
      </w:pPr>
      <w:r w:rsidRPr="00906F2F">
        <w:rPr>
          <w:b/>
        </w:rPr>
        <w:t>CSP</w:t>
      </w:r>
      <w:r w:rsidRPr="00906F2F">
        <w:t xml:space="preserve"> : Code de la Santé Publique</w:t>
      </w:r>
    </w:p>
    <w:p w:rsidR="006B4A2F" w:rsidRPr="00906F2F" w:rsidRDefault="006B4A2F" w:rsidP="006B4A2F">
      <w:pPr>
        <w:spacing w:after="0"/>
        <w:ind w:left="426"/>
      </w:pPr>
      <w:r w:rsidRPr="00906F2F">
        <w:rPr>
          <w:b/>
        </w:rPr>
        <w:t>CSTH </w:t>
      </w:r>
      <w:r w:rsidRPr="00906F2F">
        <w:t>: Comité de Sécurité Transfusionnelle et d'Hémovigilance</w:t>
      </w:r>
    </w:p>
    <w:p w:rsidR="006B4A2F" w:rsidRPr="00906F2F" w:rsidRDefault="006B4A2F" w:rsidP="006B4A2F">
      <w:pPr>
        <w:spacing w:after="0"/>
        <w:ind w:left="426"/>
      </w:pPr>
      <w:r w:rsidRPr="00906F2F">
        <w:rPr>
          <w:b/>
        </w:rPr>
        <w:t>CULM</w:t>
      </w:r>
      <w:r w:rsidRPr="00906F2F">
        <w:t> : Contrôle Ultime au Lit du Malade</w:t>
      </w:r>
    </w:p>
    <w:p w:rsidR="006B4A2F" w:rsidRDefault="006B4A2F" w:rsidP="006B4A2F">
      <w:pPr>
        <w:spacing w:after="0"/>
        <w:ind w:left="426"/>
      </w:pPr>
      <w:r w:rsidRPr="00906F2F">
        <w:rPr>
          <w:b/>
        </w:rPr>
        <w:t>DUTS / INTS </w:t>
      </w:r>
      <w:r w:rsidRPr="00906F2F">
        <w:t>: Diplôme Universitaire de Transfusion Sanguine / Institut National de la Transfusion Sanguine</w:t>
      </w:r>
    </w:p>
    <w:p w:rsidR="006B4A2F" w:rsidRPr="00906F2F" w:rsidRDefault="006B4A2F" w:rsidP="006B4A2F">
      <w:pPr>
        <w:spacing w:after="0"/>
        <w:ind w:left="426"/>
      </w:pPr>
      <w:r>
        <w:rPr>
          <w:b/>
        </w:rPr>
        <w:t>DPI </w:t>
      </w:r>
      <w:r w:rsidRPr="00D356F2">
        <w:t>:</w:t>
      </w:r>
      <w:r>
        <w:t xml:space="preserve"> dossier patient informatisé</w:t>
      </w:r>
    </w:p>
    <w:p w:rsidR="006B4A2F" w:rsidRPr="00906F2F" w:rsidRDefault="006B4A2F" w:rsidP="006B4A2F">
      <w:pPr>
        <w:spacing w:after="0"/>
        <w:ind w:left="426"/>
      </w:pPr>
      <w:r w:rsidRPr="00906F2F">
        <w:rPr>
          <w:b/>
        </w:rPr>
        <w:t>EFS </w:t>
      </w:r>
      <w:r w:rsidRPr="00906F2F">
        <w:t>: Etablissement Français du Sang</w:t>
      </w:r>
    </w:p>
    <w:p w:rsidR="006B4A2F" w:rsidRPr="00906F2F" w:rsidRDefault="006B4A2F" w:rsidP="006B4A2F">
      <w:pPr>
        <w:spacing w:after="0"/>
        <w:ind w:left="426"/>
      </w:pPr>
      <w:r w:rsidRPr="00906F2F">
        <w:rPr>
          <w:b/>
        </w:rPr>
        <w:t>EI</w:t>
      </w:r>
      <w:r w:rsidRPr="00906F2F">
        <w:t> : Evènement Indésirable</w:t>
      </w:r>
    </w:p>
    <w:p w:rsidR="006B4A2F" w:rsidRPr="00906F2F" w:rsidRDefault="006B4A2F" w:rsidP="006B4A2F">
      <w:pPr>
        <w:spacing w:after="0"/>
        <w:ind w:left="426"/>
      </w:pPr>
      <w:r w:rsidRPr="00906F2F">
        <w:rPr>
          <w:b/>
        </w:rPr>
        <w:t>FDN</w:t>
      </w:r>
      <w:r w:rsidRPr="00906F2F">
        <w:t> : Fiche de Délivrance Nominative</w:t>
      </w:r>
    </w:p>
    <w:p w:rsidR="006B4A2F" w:rsidRPr="00906F2F" w:rsidRDefault="006B4A2F" w:rsidP="006B4A2F">
      <w:pPr>
        <w:spacing w:after="0"/>
        <w:ind w:left="426"/>
      </w:pPr>
      <w:r w:rsidRPr="00906F2F">
        <w:rPr>
          <w:b/>
        </w:rPr>
        <w:t>FIG</w:t>
      </w:r>
      <w:r w:rsidRPr="00906F2F">
        <w:t> : Formulaire Incident Grave</w:t>
      </w:r>
    </w:p>
    <w:p w:rsidR="006B4A2F" w:rsidRPr="00906F2F" w:rsidRDefault="006B4A2F" w:rsidP="006B4A2F">
      <w:pPr>
        <w:spacing w:after="0"/>
        <w:ind w:left="426"/>
      </w:pPr>
      <w:r w:rsidRPr="00906F2F">
        <w:rPr>
          <w:b/>
        </w:rPr>
        <w:t>FEIGD</w:t>
      </w:r>
      <w:r w:rsidRPr="00906F2F">
        <w:t> : Fiche d’Evènement Indésirable Grave Donneur</w:t>
      </w:r>
    </w:p>
    <w:p w:rsidR="006B4A2F" w:rsidRPr="00906F2F" w:rsidRDefault="006B4A2F" w:rsidP="006B4A2F">
      <w:pPr>
        <w:spacing w:after="0"/>
        <w:ind w:left="426"/>
      </w:pPr>
      <w:r w:rsidRPr="00906F2F">
        <w:rPr>
          <w:b/>
        </w:rPr>
        <w:t xml:space="preserve">FEIR </w:t>
      </w:r>
      <w:r w:rsidRPr="00906F2F">
        <w:t>: Fiche d’Evènement Indésirable Receveur</w:t>
      </w:r>
    </w:p>
    <w:p w:rsidR="006B4A2F" w:rsidRPr="00906F2F" w:rsidRDefault="006B4A2F" w:rsidP="006B4A2F">
      <w:pPr>
        <w:spacing w:after="0"/>
        <w:ind w:left="426"/>
      </w:pPr>
      <w:r w:rsidRPr="00906F2F">
        <w:rPr>
          <w:b/>
        </w:rPr>
        <w:t>GED</w:t>
      </w:r>
      <w:r w:rsidRPr="00906F2F">
        <w:t xml:space="preserve"> : Gestion Electronique Documentaire</w:t>
      </w:r>
    </w:p>
    <w:p w:rsidR="006B4A2F" w:rsidRPr="00906F2F" w:rsidRDefault="006B4A2F" w:rsidP="006B4A2F">
      <w:pPr>
        <w:spacing w:after="0"/>
        <w:ind w:left="426"/>
      </w:pPr>
      <w:r w:rsidRPr="00906F2F">
        <w:rPr>
          <w:b/>
        </w:rPr>
        <w:t>HAD</w:t>
      </w:r>
      <w:r w:rsidRPr="00906F2F">
        <w:t xml:space="preserve"> : Hospitalisation A Domicile</w:t>
      </w:r>
    </w:p>
    <w:p w:rsidR="006B4A2F" w:rsidRPr="00906F2F" w:rsidRDefault="006B4A2F" w:rsidP="006B4A2F">
      <w:pPr>
        <w:spacing w:after="0"/>
        <w:ind w:left="426"/>
      </w:pPr>
      <w:r w:rsidRPr="00906F2F">
        <w:rPr>
          <w:b/>
        </w:rPr>
        <w:t>IDEL</w:t>
      </w:r>
      <w:r w:rsidRPr="00906F2F">
        <w:t> : Infirmiers Diplômés d’Etat Libéraux</w:t>
      </w:r>
    </w:p>
    <w:p w:rsidR="006B4A2F" w:rsidRPr="00906F2F" w:rsidRDefault="006B4A2F" w:rsidP="006B4A2F">
      <w:pPr>
        <w:spacing w:after="0"/>
        <w:ind w:left="426"/>
      </w:pPr>
      <w:r w:rsidRPr="00906F2F">
        <w:rPr>
          <w:b/>
        </w:rPr>
        <w:t>LFB</w:t>
      </w:r>
      <w:r w:rsidRPr="00906F2F">
        <w:t> : Laboratoire de Fractionnement Biologique</w:t>
      </w:r>
    </w:p>
    <w:p w:rsidR="006B4A2F" w:rsidRPr="00906F2F" w:rsidRDefault="006B4A2F" w:rsidP="006B4A2F">
      <w:pPr>
        <w:spacing w:after="0"/>
        <w:ind w:left="426"/>
      </w:pPr>
      <w:r w:rsidRPr="00906F2F">
        <w:rPr>
          <w:b/>
        </w:rPr>
        <w:t>IBTT </w:t>
      </w:r>
      <w:r w:rsidRPr="00906F2F">
        <w:t>: Incident Bactérien Transfusionnel</w:t>
      </w:r>
    </w:p>
    <w:p w:rsidR="006B4A2F" w:rsidRPr="00906F2F" w:rsidRDefault="006B4A2F" w:rsidP="006B4A2F">
      <w:pPr>
        <w:spacing w:after="0"/>
        <w:ind w:left="426"/>
      </w:pPr>
      <w:r w:rsidRPr="00906F2F">
        <w:rPr>
          <w:b/>
        </w:rPr>
        <w:t xml:space="preserve">PAQSS : </w:t>
      </w:r>
      <w:r w:rsidRPr="00906F2F">
        <w:t>Programme d’Amélioration de la Qualité et de la Sécurité des Soins</w:t>
      </w:r>
    </w:p>
    <w:p w:rsidR="006B4A2F" w:rsidRPr="00906F2F" w:rsidRDefault="006B4A2F" w:rsidP="006B4A2F">
      <w:pPr>
        <w:spacing w:after="0"/>
        <w:ind w:left="426"/>
      </w:pPr>
      <w:r w:rsidRPr="00906F2F">
        <w:rPr>
          <w:b/>
        </w:rPr>
        <w:t>PSL</w:t>
      </w:r>
      <w:r w:rsidRPr="00906F2F">
        <w:t xml:space="preserve"> : Produit Sanguin Labile</w:t>
      </w:r>
    </w:p>
    <w:p w:rsidR="006B4A2F" w:rsidRPr="00906F2F" w:rsidRDefault="006B4A2F" w:rsidP="006B4A2F">
      <w:pPr>
        <w:spacing w:after="0"/>
        <w:ind w:left="426"/>
      </w:pPr>
      <w:r w:rsidRPr="00906F2F">
        <w:rPr>
          <w:b/>
        </w:rPr>
        <w:t>QGDR</w:t>
      </w:r>
      <w:r w:rsidRPr="00906F2F">
        <w:t> : Qualité Gestion Des Risques</w:t>
      </w:r>
    </w:p>
    <w:p w:rsidR="006B4A2F" w:rsidRPr="00906F2F" w:rsidRDefault="006B4A2F" w:rsidP="006B4A2F">
      <w:pPr>
        <w:spacing w:after="0"/>
        <w:ind w:left="426"/>
      </w:pPr>
      <w:r w:rsidRPr="00906F2F">
        <w:rPr>
          <w:b/>
        </w:rPr>
        <w:t>RAQ</w:t>
      </w:r>
      <w:r w:rsidRPr="00906F2F">
        <w:t> : Responsable Assurance Qualité et gestion des risques</w:t>
      </w:r>
    </w:p>
    <w:p w:rsidR="006B4A2F" w:rsidRPr="00906F2F" w:rsidRDefault="006B4A2F" w:rsidP="006B4A2F">
      <w:pPr>
        <w:spacing w:after="0"/>
        <w:ind w:left="426"/>
      </w:pPr>
      <w:r w:rsidRPr="00906F2F">
        <w:rPr>
          <w:b/>
        </w:rPr>
        <w:t>SFTS</w:t>
      </w:r>
      <w:r w:rsidRPr="00906F2F">
        <w:t xml:space="preserve"> : Société Française de Transfusion sanguine</w:t>
      </w:r>
    </w:p>
    <w:p w:rsidR="006B4A2F" w:rsidRPr="00906F2F" w:rsidRDefault="006B4A2F" w:rsidP="006B4A2F">
      <w:pPr>
        <w:spacing w:after="0"/>
        <w:ind w:left="426"/>
      </w:pPr>
      <w:r w:rsidRPr="00906F2F">
        <w:rPr>
          <w:b/>
        </w:rPr>
        <w:t>SFVTT</w:t>
      </w:r>
      <w:r w:rsidRPr="00906F2F">
        <w:t> : Société Française de Vigilance et de Thérapeutique Transfusionnelle</w:t>
      </w:r>
    </w:p>
    <w:p w:rsidR="006B4A2F" w:rsidRPr="00906F2F" w:rsidRDefault="006B4A2F" w:rsidP="006B4A2F">
      <w:pPr>
        <w:spacing w:after="0"/>
        <w:ind w:left="426"/>
      </w:pPr>
    </w:p>
    <w:p w:rsidR="006B4A2F" w:rsidRDefault="006B4A2F" w:rsidP="006B4A2F"/>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6B4A2F" w:rsidRDefault="006B4A2F" w:rsidP="00AB5993">
      <w:pPr>
        <w:pStyle w:val="Paragraphedeliste"/>
        <w:ind w:left="709"/>
      </w:pPr>
    </w:p>
    <w:p w:rsidR="00906F2F" w:rsidRDefault="00906F2F" w:rsidP="00AB5993">
      <w:pPr>
        <w:pStyle w:val="Paragraphedeliste"/>
        <w:ind w:left="709"/>
      </w:pPr>
    </w:p>
    <w:p w:rsidR="00906F2F" w:rsidRDefault="00906F2F" w:rsidP="00AB5993">
      <w:pPr>
        <w:pStyle w:val="Paragraphedeliste"/>
        <w:ind w:left="709"/>
      </w:pPr>
    </w:p>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906F2F" w:rsidTr="00D66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906F2F" w:rsidRDefault="00906F2F" w:rsidP="00D66C7D">
            <w:r>
              <w:t>Rédacteur</w:t>
            </w:r>
          </w:p>
        </w:tc>
        <w:tc>
          <w:tcPr>
            <w:tcW w:w="3119" w:type="dxa"/>
          </w:tcPr>
          <w:p w:rsidR="00906F2F" w:rsidRDefault="00906F2F" w:rsidP="00D66C7D">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906F2F" w:rsidRDefault="00906F2F" w:rsidP="00D66C7D">
            <w:pPr>
              <w:cnfStyle w:val="100000000000" w:firstRow="1" w:lastRow="0" w:firstColumn="0" w:lastColumn="0" w:oddVBand="0" w:evenVBand="0" w:oddHBand="0" w:evenHBand="0" w:firstRowFirstColumn="0" w:firstRowLastColumn="0" w:lastRowFirstColumn="0" w:lastRowLastColumn="0"/>
            </w:pPr>
            <w:r>
              <w:t>Approbateur</w:t>
            </w:r>
          </w:p>
        </w:tc>
      </w:tr>
      <w:tr w:rsidR="00906F2F" w:rsidTr="00D66C7D">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906F2F" w:rsidRPr="00F72E1E" w:rsidRDefault="00906F2F" w:rsidP="00D66C7D">
            <w:pPr>
              <w:rPr>
                <w:b w:val="0"/>
                <w:sz w:val="18"/>
              </w:rPr>
            </w:pPr>
            <w:proofErr w:type="spellStart"/>
            <w:proofErr w:type="gramStart"/>
            <w:r>
              <w:rPr>
                <w:sz w:val="18"/>
              </w:rPr>
              <w:t>Dr.JONCA</w:t>
            </w:r>
            <w:proofErr w:type="spellEnd"/>
            <w:proofErr w:type="gramEnd"/>
          </w:p>
          <w:p w:rsidR="006B4A2F" w:rsidRPr="00554F14" w:rsidRDefault="006B4A2F" w:rsidP="006B4A2F">
            <w:pPr>
              <w:rPr>
                <w:b w:val="0"/>
                <w:sz w:val="16"/>
              </w:rPr>
            </w:pPr>
            <w:r>
              <w:rPr>
                <w:b w:val="0"/>
                <w:sz w:val="16"/>
              </w:rPr>
              <w:t>Médecin c</w:t>
            </w:r>
            <w:r w:rsidRPr="00554F14">
              <w:rPr>
                <w:b w:val="0"/>
                <w:sz w:val="16"/>
              </w:rPr>
              <w:t xml:space="preserve">oordonnateur </w:t>
            </w:r>
            <w:r>
              <w:rPr>
                <w:b w:val="0"/>
                <w:sz w:val="16"/>
              </w:rPr>
              <w:t>HAD Santé Relais domicile Toulouse</w:t>
            </w:r>
          </w:p>
          <w:p w:rsidR="00906F2F" w:rsidRPr="00E77183" w:rsidRDefault="00906F2F" w:rsidP="00D66C7D">
            <w:pPr>
              <w:rPr>
                <w:b w:val="0"/>
                <w:sz w:val="18"/>
              </w:rPr>
            </w:pPr>
          </w:p>
        </w:tc>
        <w:tc>
          <w:tcPr>
            <w:tcW w:w="3119" w:type="dxa"/>
          </w:tcPr>
          <w:p w:rsidR="00906F2F" w:rsidRPr="00F72E1E" w:rsidRDefault="00906F2F" w:rsidP="00D66C7D">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906F2F" w:rsidRDefault="00906F2F" w:rsidP="00D66C7D">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906F2F" w:rsidRPr="00554F14" w:rsidRDefault="00906F2F" w:rsidP="00D66C7D">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906F2F" w:rsidRPr="00F72E1E" w:rsidRDefault="00906F2F" w:rsidP="00D66C7D">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906F2F" w:rsidRPr="00F72E1E" w:rsidRDefault="00906F2F" w:rsidP="00D66C7D">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906F2F" w:rsidRPr="00E77183" w:rsidRDefault="00906F2F" w:rsidP="00D66C7D">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906F2F" w:rsidRDefault="00906F2F" w:rsidP="00AB5993">
      <w:pPr>
        <w:pStyle w:val="Paragraphedeliste"/>
        <w:ind w:left="709"/>
      </w:pPr>
    </w:p>
    <w:p w:rsidR="00906F2F" w:rsidRDefault="00906F2F" w:rsidP="00AB5993">
      <w:pPr>
        <w:pStyle w:val="Paragraphedeliste"/>
        <w:ind w:left="709"/>
      </w:pPr>
    </w:p>
    <w:p w:rsidR="00906F2F" w:rsidRPr="00906F2F" w:rsidRDefault="00906F2F" w:rsidP="00906F2F">
      <w:r>
        <w:rPr>
          <w:noProof/>
          <w:lang w:eastAsia="fr-FR"/>
        </w:rPr>
        <w:drawing>
          <wp:anchor distT="0" distB="0" distL="114300" distR="114300" simplePos="0" relativeHeight="251661312" behindDoc="0" locked="0" layoutInCell="1" allowOverlap="1" wp14:anchorId="3AD3C3C0" wp14:editId="6909632E">
            <wp:simplePos x="0" y="0"/>
            <wp:positionH relativeFrom="column">
              <wp:posOffset>-920750</wp:posOffset>
            </wp:positionH>
            <wp:positionV relativeFrom="paragraph">
              <wp:posOffset>88265</wp:posOffset>
            </wp:positionV>
            <wp:extent cx="7391400" cy="1972310"/>
            <wp:effectExtent l="0" t="0" r="0" b="889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1851" t="37517" r="20654" b="36885"/>
                    <a:stretch/>
                  </pic:blipFill>
                  <pic:spPr bwMode="auto">
                    <a:xfrm>
                      <a:off x="0" y="0"/>
                      <a:ext cx="7391400" cy="1972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6F2F" w:rsidRPr="00906F2F" w:rsidRDefault="00906F2F" w:rsidP="00906F2F"/>
    <w:p w:rsidR="00906F2F" w:rsidRPr="00906F2F" w:rsidRDefault="00906F2F" w:rsidP="00906F2F"/>
    <w:p w:rsidR="00906F2F" w:rsidRPr="00906F2F" w:rsidRDefault="00906F2F" w:rsidP="00906F2F"/>
    <w:p w:rsidR="00906F2F" w:rsidRPr="00906F2F" w:rsidRDefault="00906F2F" w:rsidP="00906F2F"/>
    <w:p w:rsidR="00906F2F" w:rsidRPr="00906F2F" w:rsidRDefault="00906F2F" w:rsidP="00906F2F"/>
    <w:p w:rsidR="00906F2F" w:rsidRPr="00906F2F" w:rsidRDefault="00906F2F" w:rsidP="00906F2F"/>
    <w:p w:rsidR="00906F2F" w:rsidRDefault="00906F2F" w:rsidP="00906F2F">
      <w:pPr>
        <w:ind w:firstLine="708"/>
      </w:pPr>
      <w:r w:rsidRPr="001C067C">
        <w:rPr>
          <w:noProof/>
          <w:lang w:eastAsia="fr-FR"/>
        </w:rPr>
        <mc:AlternateContent>
          <mc:Choice Requires="wps">
            <w:drawing>
              <wp:anchor distT="45720" distB="45720" distL="114300" distR="114300" simplePos="0" relativeHeight="251663360" behindDoc="0" locked="0" layoutInCell="1" allowOverlap="1" wp14:anchorId="1F7BF7E5" wp14:editId="71E1D877">
                <wp:simplePos x="0" y="0"/>
                <wp:positionH relativeFrom="column">
                  <wp:posOffset>0</wp:posOffset>
                </wp:positionH>
                <wp:positionV relativeFrom="paragraph">
                  <wp:posOffset>331470</wp:posOffset>
                </wp:positionV>
                <wp:extent cx="5916295" cy="346710"/>
                <wp:effectExtent l="0" t="0" r="27305"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46710"/>
                        </a:xfrm>
                        <a:prstGeom prst="rect">
                          <a:avLst/>
                        </a:prstGeom>
                        <a:solidFill>
                          <a:srgbClr val="FFFFFF"/>
                        </a:solidFill>
                        <a:ln w="9525">
                          <a:solidFill>
                            <a:srgbClr val="000000"/>
                          </a:solidFill>
                          <a:miter lim="800000"/>
                          <a:headEnd/>
                          <a:tailEnd/>
                        </a:ln>
                      </wps:spPr>
                      <wps:txbx>
                        <w:txbxContent>
                          <w:p w:rsidR="00906F2F" w:rsidRPr="00906F2F" w:rsidRDefault="00906F2F" w:rsidP="00906F2F">
                            <w:pPr>
                              <w:jc w:val="center"/>
                              <w:rPr>
                                <w:rFonts w:asciiTheme="majorHAnsi" w:hAnsiTheme="majorHAnsi" w:cstheme="majorHAnsi"/>
                                <w:b/>
                                <w:sz w:val="24"/>
                                <w:szCs w:val="24"/>
                              </w:rPr>
                            </w:pPr>
                            <w:r w:rsidRPr="00906F2F">
                              <w:rPr>
                                <w:rFonts w:asciiTheme="majorHAnsi" w:hAnsiTheme="majorHAnsi" w:cstheme="majorHAnsi"/>
                                <w:b/>
                                <w:sz w:val="24"/>
                                <w:szCs w:val="24"/>
                              </w:rPr>
                              <w:t>LE MEDECIN HEMOVIGILANT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BF7E5" id="_x0000_t202" coordsize="21600,21600" o:spt="202" path="m,l,21600r21600,l21600,xe">
                <v:stroke joinstyle="miter"/>
                <v:path gradientshapeok="t" o:connecttype="rect"/>
              </v:shapetype>
              <v:shape id="Zone de texte 2" o:spid="_x0000_s1027" type="#_x0000_t202" style="position:absolute;left:0;text-align:left;margin-left:0;margin-top:26.1pt;width:465.85pt;height:27.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">
                <v:textbox>
                  <w:txbxContent>
                    <w:p w:rsidR="00906F2F" w:rsidRPr="00906F2F" w:rsidRDefault="00906F2F" w:rsidP="00906F2F">
                      <w:pPr>
                        <w:jc w:val="center"/>
                        <w:rPr>
                          <w:rFonts w:asciiTheme="majorHAnsi" w:hAnsiTheme="majorHAnsi" w:cstheme="majorHAnsi"/>
                          <w:b/>
                          <w:sz w:val="24"/>
                          <w:szCs w:val="24"/>
                        </w:rPr>
                      </w:pPr>
                      <w:r w:rsidRPr="00906F2F">
                        <w:rPr>
                          <w:rFonts w:asciiTheme="majorHAnsi" w:hAnsiTheme="majorHAnsi" w:cstheme="majorHAnsi"/>
                          <w:b/>
                          <w:sz w:val="24"/>
                          <w:szCs w:val="24"/>
                        </w:rPr>
                        <w:t>LE MEDECIN HEMOVIGILANT</w:t>
                      </w:r>
                    </w:p>
                  </w:txbxContent>
                </v:textbox>
                <w10:wrap type="square"/>
              </v:shape>
            </w:pict>
          </mc:Fallback>
        </mc:AlternateContent>
      </w:r>
    </w:p>
    <w:p w:rsidR="00906F2F" w:rsidRPr="00906F2F" w:rsidRDefault="00906F2F" w:rsidP="00906F2F"/>
    <w:p w:rsidR="00906F2F" w:rsidRPr="00906F2F" w:rsidRDefault="00906F2F" w:rsidP="00906F2F">
      <w:pPr>
        <w:spacing w:line="216" w:lineRule="auto"/>
        <w:jc w:val="both"/>
        <w:rPr>
          <w:rFonts w:asciiTheme="majorHAnsi" w:eastAsia="Times New Roman" w:hAnsiTheme="majorHAnsi" w:cstheme="majorHAnsi"/>
          <w:color w:val="FFFFFF"/>
        </w:rPr>
      </w:pPr>
      <w:r w:rsidRPr="00906F2F">
        <w:rPr>
          <w:rFonts w:asciiTheme="majorHAnsi" w:eastAsiaTheme="minorEastAsia" w:hAnsiTheme="majorHAnsi" w:cstheme="majorHAnsi"/>
          <w:color w:val="000000" w:themeColor="text1"/>
          <w:kern w:val="24"/>
          <w:highlight w:val="yellow"/>
        </w:rPr>
        <w:t xml:space="preserve">Le Dr </w:t>
      </w:r>
      <w:r w:rsidR="0009453D">
        <w:rPr>
          <w:rFonts w:asciiTheme="majorHAnsi" w:eastAsiaTheme="minorEastAsia" w:hAnsiTheme="majorHAnsi" w:cstheme="majorHAnsi"/>
          <w:color w:val="000000" w:themeColor="text1"/>
          <w:kern w:val="24"/>
        </w:rPr>
        <w:t>………….</w:t>
      </w:r>
      <w:r w:rsidRPr="00906F2F">
        <w:rPr>
          <w:rFonts w:asciiTheme="majorHAnsi" w:eastAsiaTheme="minorEastAsia" w:hAnsiTheme="majorHAnsi" w:cstheme="majorHAnsi"/>
          <w:color w:val="000000" w:themeColor="text1"/>
          <w:kern w:val="24"/>
        </w:rPr>
        <w:t xml:space="preserve"> </w:t>
      </w:r>
      <w:proofErr w:type="gramStart"/>
      <w:r w:rsidRPr="00906F2F">
        <w:rPr>
          <w:rFonts w:asciiTheme="majorHAnsi" w:eastAsiaTheme="minorEastAsia" w:hAnsiTheme="majorHAnsi" w:cstheme="majorHAnsi"/>
          <w:color w:val="000000" w:themeColor="text1"/>
          <w:kern w:val="24"/>
        </w:rPr>
        <w:t>est</w:t>
      </w:r>
      <w:proofErr w:type="gramEnd"/>
      <w:r w:rsidRPr="00906F2F">
        <w:rPr>
          <w:rFonts w:asciiTheme="majorHAnsi" w:eastAsiaTheme="minorEastAsia" w:hAnsiTheme="majorHAnsi" w:cstheme="majorHAnsi"/>
          <w:color w:val="000000" w:themeColor="text1"/>
          <w:kern w:val="24"/>
        </w:rPr>
        <w:t xml:space="preserve"> désigné médecin </w:t>
      </w:r>
      <w:proofErr w:type="spellStart"/>
      <w:r w:rsidRPr="00906F2F">
        <w:rPr>
          <w:rFonts w:asciiTheme="majorHAnsi" w:eastAsiaTheme="minorEastAsia" w:hAnsiTheme="majorHAnsi" w:cstheme="majorHAnsi"/>
          <w:color w:val="000000" w:themeColor="text1"/>
          <w:kern w:val="24"/>
        </w:rPr>
        <w:t>Hémovigilant</w:t>
      </w:r>
      <w:proofErr w:type="spellEnd"/>
      <w:r w:rsidRPr="00906F2F">
        <w:rPr>
          <w:rFonts w:asciiTheme="majorHAnsi" w:eastAsiaTheme="minorEastAsia" w:hAnsiTheme="majorHAnsi" w:cstheme="majorHAnsi"/>
          <w:color w:val="000000" w:themeColor="text1"/>
          <w:kern w:val="24"/>
        </w:rPr>
        <w:t xml:space="preserve"> par la CME</w:t>
      </w:r>
      <w:r>
        <w:rPr>
          <w:rFonts w:asciiTheme="majorHAnsi" w:eastAsiaTheme="minorEastAsia" w:hAnsiTheme="majorHAnsi" w:cstheme="majorHAnsi"/>
          <w:color w:val="000000" w:themeColor="text1"/>
          <w:kern w:val="24"/>
        </w:rPr>
        <w:t>,</w:t>
      </w:r>
      <w:r w:rsidRPr="00906F2F">
        <w:rPr>
          <w:rFonts w:asciiTheme="majorHAnsi" w:eastAsiaTheme="minorEastAsia" w:hAnsiTheme="majorHAnsi" w:cstheme="majorHAnsi"/>
          <w:color w:val="000000" w:themeColor="text1"/>
          <w:kern w:val="24"/>
        </w:rPr>
        <w:t xml:space="preserve"> ce médecin est habilité à prendre en charge cette vigilance sanitaire</w:t>
      </w:r>
    </w:p>
    <w:p w:rsidR="00906F2F" w:rsidRPr="00906F2F" w:rsidRDefault="00906F2F" w:rsidP="00906F2F">
      <w:pPr>
        <w:spacing w:after="0" w:line="240" w:lineRule="auto"/>
        <w:jc w:val="both"/>
        <w:rPr>
          <w:rFonts w:asciiTheme="majorHAnsi" w:eastAsiaTheme="minorEastAsia" w:hAnsiTheme="majorHAnsi" w:cstheme="majorHAnsi"/>
          <w:color w:val="000000" w:themeColor="text1"/>
          <w:kern w:val="24"/>
        </w:rPr>
      </w:pPr>
      <w:r w:rsidRPr="00906F2F">
        <w:rPr>
          <w:rFonts w:asciiTheme="majorHAnsi" w:eastAsiaTheme="minorEastAsia" w:hAnsiTheme="majorHAnsi" w:cstheme="majorHAnsi"/>
          <w:color w:val="000000" w:themeColor="text1"/>
          <w:kern w:val="24"/>
          <w:highlight w:val="yellow"/>
        </w:rPr>
        <w:t xml:space="preserve">Le Dr </w:t>
      </w:r>
      <w:r w:rsidR="0009453D">
        <w:rPr>
          <w:rFonts w:asciiTheme="majorHAnsi" w:eastAsiaTheme="minorEastAsia" w:hAnsiTheme="majorHAnsi" w:cstheme="majorHAnsi"/>
          <w:color w:val="000000" w:themeColor="text1"/>
          <w:kern w:val="24"/>
        </w:rPr>
        <w:t>………</w:t>
      </w:r>
      <w:r w:rsidRPr="00906F2F">
        <w:rPr>
          <w:rFonts w:asciiTheme="majorHAnsi" w:eastAsiaTheme="minorEastAsia" w:hAnsiTheme="majorHAnsi" w:cstheme="majorHAnsi"/>
          <w:color w:val="000000" w:themeColor="text1"/>
          <w:kern w:val="24"/>
        </w:rPr>
        <w:t xml:space="preserve"> s’engage :</w:t>
      </w:r>
    </w:p>
    <w:p w:rsidR="00906F2F" w:rsidRPr="00906F2F" w:rsidRDefault="00906F2F" w:rsidP="00906F2F">
      <w:pPr>
        <w:spacing w:after="0" w:line="240" w:lineRule="auto"/>
        <w:jc w:val="both"/>
        <w:rPr>
          <w:rFonts w:asciiTheme="majorHAnsi" w:eastAsiaTheme="minorEastAsia" w:hAnsiTheme="majorHAnsi" w:cstheme="majorHAnsi"/>
          <w:color w:val="000000" w:themeColor="text1"/>
          <w:kern w:val="24"/>
        </w:rPr>
      </w:pPr>
    </w:p>
    <w:p w:rsidR="00906F2F" w:rsidRPr="00906F2F" w:rsidRDefault="00906F2F" w:rsidP="00906F2F">
      <w:pPr>
        <w:pStyle w:val="Paragraphedeliste"/>
        <w:numPr>
          <w:ilvl w:val="0"/>
          <w:numId w:val="29"/>
        </w:numPr>
        <w:spacing w:after="0" w:line="240" w:lineRule="auto"/>
        <w:ind w:left="567" w:hanging="283"/>
        <w:jc w:val="both"/>
        <w:rPr>
          <w:rFonts w:asciiTheme="majorHAnsi" w:eastAsiaTheme="minorEastAsia" w:hAnsiTheme="majorHAnsi" w:cstheme="majorHAnsi"/>
          <w:color w:val="000000" w:themeColor="text1"/>
          <w:kern w:val="24"/>
        </w:rPr>
      </w:pPr>
      <w:r w:rsidRPr="00906F2F">
        <w:rPr>
          <w:rFonts w:asciiTheme="majorHAnsi" w:eastAsiaTheme="minorEastAsia" w:hAnsiTheme="majorHAnsi" w:cstheme="majorHAnsi"/>
          <w:color w:val="000000" w:themeColor="text1"/>
          <w:kern w:val="24"/>
        </w:rPr>
        <w:t>A mettre en œuvre en lien avec les cadres et les référents fils rouge de chacun des secteurs la procédure d’habilitation et de suivi des compétences des soignants impliqués dans la prise en charge de patients dans le</w:t>
      </w:r>
      <w:r>
        <w:rPr>
          <w:rFonts w:asciiTheme="majorHAnsi" w:eastAsiaTheme="minorEastAsia" w:hAnsiTheme="majorHAnsi" w:cstheme="majorHAnsi"/>
          <w:color w:val="000000" w:themeColor="text1"/>
          <w:kern w:val="24"/>
        </w:rPr>
        <w:t xml:space="preserve"> cadre d’un acte transfusionnel</w:t>
      </w:r>
      <w:r w:rsidRPr="00906F2F">
        <w:rPr>
          <w:rFonts w:asciiTheme="majorHAnsi" w:eastAsiaTheme="minorEastAsia" w:hAnsiTheme="majorHAnsi" w:cstheme="majorHAnsi"/>
          <w:color w:val="000000" w:themeColor="text1"/>
          <w:kern w:val="24"/>
        </w:rPr>
        <w:t xml:space="preserve"> </w:t>
      </w:r>
    </w:p>
    <w:p w:rsidR="00906F2F" w:rsidRPr="00906F2F" w:rsidRDefault="00906F2F" w:rsidP="00906F2F">
      <w:pPr>
        <w:pStyle w:val="Paragraphedeliste"/>
        <w:ind w:left="567"/>
        <w:jc w:val="both"/>
        <w:rPr>
          <w:rFonts w:asciiTheme="majorHAnsi" w:eastAsiaTheme="minorEastAsia" w:hAnsiTheme="majorHAnsi" w:cstheme="majorHAnsi"/>
          <w:color w:val="000000" w:themeColor="text1"/>
          <w:kern w:val="24"/>
        </w:rPr>
      </w:pPr>
    </w:p>
    <w:p w:rsidR="00906F2F" w:rsidRPr="00906F2F" w:rsidRDefault="00906F2F" w:rsidP="0009453D">
      <w:pPr>
        <w:pStyle w:val="Paragraphedeliste"/>
        <w:numPr>
          <w:ilvl w:val="0"/>
          <w:numId w:val="29"/>
        </w:numPr>
        <w:spacing w:after="0" w:line="240" w:lineRule="auto"/>
        <w:jc w:val="both"/>
        <w:rPr>
          <w:rFonts w:asciiTheme="majorHAnsi" w:eastAsiaTheme="minorEastAsia" w:hAnsiTheme="majorHAnsi" w:cstheme="majorHAnsi"/>
          <w:color w:val="000000" w:themeColor="text1"/>
          <w:kern w:val="24"/>
          <w:highlight w:val="yellow"/>
        </w:rPr>
      </w:pPr>
      <w:r w:rsidRPr="0009453D">
        <w:rPr>
          <w:rFonts w:asciiTheme="majorHAnsi" w:eastAsiaTheme="minorEastAsia" w:hAnsiTheme="majorHAnsi" w:cstheme="majorHAnsi"/>
          <w:color w:val="000000" w:themeColor="text1"/>
          <w:kern w:val="24"/>
        </w:rPr>
        <w:t>A assurer</w:t>
      </w:r>
      <w:r w:rsidRPr="00906F2F">
        <w:rPr>
          <w:rFonts w:asciiTheme="majorHAnsi" w:eastAsiaTheme="minorEastAsia" w:hAnsiTheme="majorHAnsi" w:cstheme="majorHAnsi"/>
          <w:color w:val="000000" w:themeColor="text1"/>
          <w:kern w:val="24"/>
        </w:rPr>
        <w:t xml:space="preserve"> la formation et le suivi d’habilitation d’un professionnel à la pratique transfusionnelle en </w:t>
      </w:r>
      <w:r w:rsidRPr="0009453D">
        <w:rPr>
          <w:rFonts w:asciiTheme="majorHAnsi" w:eastAsiaTheme="minorEastAsia" w:hAnsiTheme="majorHAnsi" w:cstheme="majorHAnsi"/>
          <w:color w:val="000000" w:themeColor="text1"/>
          <w:kern w:val="24"/>
        </w:rPr>
        <w:t xml:space="preserve">HAD (Cf. </w:t>
      </w:r>
      <w:r w:rsidRPr="0009453D">
        <w:rPr>
          <w:rFonts w:asciiTheme="majorHAnsi" w:eastAsiaTheme="minorEastAsia" w:hAnsiTheme="majorHAnsi" w:cstheme="majorHAnsi"/>
          <w:i/>
          <w:color w:val="000000" w:themeColor="text1"/>
          <w:kern w:val="24"/>
        </w:rPr>
        <w:t>« </w:t>
      </w:r>
      <w:r w:rsidR="0009453D" w:rsidRPr="0009453D">
        <w:rPr>
          <w:rFonts w:asciiTheme="majorHAnsi" w:eastAsiaTheme="minorEastAsia" w:hAnsiTheme="majorHAnsi" w:cstheme="majorHAnsi"/>
          <w:i/>
          <w:color w:val="000000" w:themeColor="text1"/>
          <w:kern w:val="24"/>
        </w:rPr>
        <w:t>HVCVL-HAD-TRANSFUSION-FORMATION-HABILITATION-PRATIQUES-RISQUES</w:t>
      </w:r>
      <w:r w:rsidR="0009453D">
        <w:rPr>
          <w:rFonts w:asciiTheme="majorHAnsi" w:eastAsiaTheme="minorEastAsia" w:hAnsiTheme="majorHAnsi" w:cstheme="majorHAnsi"/>
          <w:i/>
          <w:color w:val="000000" w:themeColor="text1"/>
          <w:kern w:val="24"/>
        </w:rPr>
        <w:t>)</w:t>
      </w:r>
    </w:p>
    <w:p w:rsidR="00906F2F" w:rsidRPr="00906F2F" w:rsidRDefault="00906F2F" w:rsidP="00906F2F">
      <w:pPr>
        <w:pStyle w:val="Paragraphedeliste"/>
        <w:ind w:left="567"/>
        <w:jc w:val="both"/>
        <w:rPr>
          <w:rFonts w:asciiTheme="majorHAnsi" w:eastAsiaTheme="minorEastAsia" w:hAnsiTheme="majorHAnsi" w:cstheme="majorHAnsi"/>
          <w:color w:val="000000" w:themeColor="text1"/>
          <w:kern w:val="24"/>
        </w:rPr>
      </w:pPr>
    </w:p>
    <w:p w:rsidR="00906F2F" w:rsidRPr="00906F2F" w:rsidRDefault="00906F2F" w:rsidP="00906F2F">
      <w:pPr>
        <w:pStyle w:val="Paragraphedeliste"/>
        <w:numPr>
          <w:ilvl w:val="0"/>
          <w:numId w:val="29"/>
        </w:numPr>
        <w:spacing w:after="0" w:line="240" w:lineRule="auto"/>
        <w:ind w:left="567" w:hanging="283"/>
        <w:jc w:val="both"/>
        <w:rPr>
          <w:rFonts w:asciiTheme="majorHAnsi" w:eastAsiaTheme="minorEastAsia" w:hAnsiTheme="majorHAnsi" w:cstheme="majorHAnsi"/>
          <w:color w:val="000000" w:themeColor="text1"/>
          <w:kern w:val="24"/>
        </w:rPr>
      </w:pPr>
      <w:bookmarkStart w:id="0" w:name="_Hlk528592242"/>
      <w:r w:rsidRPr="00906F2F">
        <w:rPr>
          <w:rFonts w:asciiTheme="majorHAnsi" w:eastAsiaTheme="minorEastAsia" w:hAnsiTheme="majorHAnsi" w:cstheme="majorHAnsi"/>
          <w:color w:val="000000" w:themeColor="text1"/>
          <w:kern w:val="24"/>
        </w:rPr>
        <w:t xml:space="preserve">A mettre en place </w:t>
      </w:r>
      <w:bookmarkStart w:id="1" w:name="_Hlk528594419"/>
      <w:bookmarkEnd w:id="0"/>
      <w:r w:rsidRPr="00906F2F">
        <w:rPr>
          <w:rFonts w:asciiTheme="majorHAnsi" w:eastAsiaTheme="minorEastAsia" w:hAnsiTheme="majorHAnsi" w:cstheme="majorHAnsi"/>
          <w:color w:val="000000" w:themeColor="text1"/>
          <w:kern w:val="24"/>
        </w:rPr>
        <w:t xml:space="preserve">un CSTH </w:t>
      </w:r>
      <w:r>
        <w:rPr>
          <w:rFonts w:asciiTheme="majorHAnsi" w:eastAsiaTheme="minorEastAsia" w:hAnsiTheme="majorHAnsi" w:cstheme="majorHAnsi"/>
          <w:color w:val="000000" w:themeColor="text1"/>
          <w:kern w:val="24"/>
        </w:rPr>
        <w:t xml:space="preserve">par an. </w:t>
      </w:r>
      <w:r w:rsidRPr="00906F2F">
        <w:rPr>
          <w:rFonts w:asciiTheme="majorHAnsi" w:eastAsiaTheme="minorEastAsia" w:hAnsiTheme="majorHAnsi" w:cstheme="majorHAnsi"/>
          <w:color w:val="000000" w:themeColor="text1"/>
          <w:kern w:val="24"/>
        </w:rPr>
        <w:t>Un bilan d’activité annuel est formalisé et donne lieu à un compte rendu</w:t>
      </w:r>
      <w:bookmarkStart w:id="2" w:name="_Hlk528594491"/>
      <w:bookmarkEnd w:id="1"/>
    </w:p>
    <w:bookmarkEnd w:id="2"/>
    <w:p w:rsidR="00906F2F" w:rsidRPr="00906F2F" w:rsidRDefault="00906F2F" w:rsidP="00906F2F">
      <w:pPr>
        <w:pStyle w:val="Paragraphedeliste"/>
        <w:numPr>
          <w:ilvl w:val="0"/>
          <w:numId w:val="25"/>
        </w:numPr>
        <w:tabs>
          <w:tab w:val="clear" w:pos="720"/>
          <w:tab w:val="num" w:pos="502"/>
        </w:tabs>
        <w:spacing w:after="0" w:line="216" w:lineRule="auto"/>
        <w:ind w:left="502"/>
        <w:jc w:val="both"/>
        <w:rPr>
          <w:rFonts w:asciiTheme="majorHAnsi" w:hAnsiTheme="majorHAnsi" w:cstheme="majorHAnsi"/>
          <w:color w:val="FFFFFF"/>
        </w:rPr>
      </w:pPr>
    </w:p>
    <w:p w:rsidR="00906F2F" w:rsidRPr="00906F2F" w:rsidRDefault="00906F2F" w:rsidP="00906F2F">
      <w:pPr>
        <w:spacing w:after="0" w:line="240" w:lineRule="auto"/>
        <w:jc w:val="both"/>
        <w:rPr>
          <w:rFonts w:asciiTheme="majorHAnsi" w:hAnsiTheme="majorHAnsi" w:cstheme="majorHAnsi"/>
          <w:color w:val="FFFFFF"/>
        </w:rPr>
      </w:pPr>
      <w:r w:rsidRPr="00906F2F">
        <w:rPr>
          <w:rFonts w:asciiTheme="majorHAnsi" w:eastAsiaTheme="minorEastAsia" w:hAnsiTheme="majorHAnsi" w:cstheme="majorHAnsi"/>
          <w:color w:val="000000" w:themeColor="text1"/>
          <w:kern w:val="24"/>
          <w:highlight w:val="yellow"/>
        </w:rPr>
        <w:t xml:space="preserve">Le Dr </w:t>
      </w:r>
      <w:r w:rsidR="0009453D">
        <w:rPr>
          <w:rFonts w:asciiTheme="majorHAnsi" w:eastAsiaTheme="minorEastAsia" w:hAnsiTheme="majorHAnsi" w:cstheme="majorHAnsi"/>
          <w:color w:val="000000" w:themeColor="text1"/>
          <w:kern w:val="24"/>
        </w:rPr>
        <w:t>………………</w:t>
      </w:r>
      <w:r w:rsidRPr="00906F2F">
        <w:rPr>
          <w:rFonts w:asciiTheme="majorHAnsi" w:eastAsiaTheme="minorEastAsia" w:hAnsiTheme="majorHAnsi" w:cstheme="majorHAnsi"/>
          <w:color w:val="000000" w:themeColor="text1"/>
          <w:kern w:val="24"/>
        </w:rPr>
        <w:t xml:space="preserve"> a été nommé par la CME de l’HAD en présence de la directrice qui s’engage à mettre à disposition de ce praticien les moyens nécessaires à la mise en place de l’hémovigilance et de la gestion des risques au sein de l’établissement.</w:t>
      </w:r>
    </w:p>
    <w:p w:rsidR="00906F2F" w:rsidRPr="00906F2F" w:rsidRDefault="00906F2F" w:rsidP="00906F2F">
      <w:pPr>
        <w:pStyle w:val="Paragraphedeliste"/>
        <w:rPr>
          <w:rFonts w:asciiTheme="majorHAnsi" w:eastAsiaTheme="minorEastAsia" w:hAnsiTheme="majorHAnsi" w:cstheme="majorHAnsi"/>
          <w:color w:val="000000" w:themeColor="text1"/>
          <w:kern w:val="24"/>
        </w:rPr>
      </w:pPr>
    </w:p>
    <w:p w:rsidR="00906F2F" w:rsidRPr="00906F2F" w:rsidRDefault="00906F2F" w:rsidP="000B1F76">
      <w:pPr>
        <w:pStyle w:val="Paragraphedeliste"/>
        <w:spacing w:line="216" w:lineRule="auto"/>
        <w:ind w:left="0"/>
        <w:jc w:val="both"/>
        <w:rPr>
          <w:rFonts w:asciiTheme="majorHAnsi" w:hAnsiTheme="majorHAnsi" w:cstheme="majorHAnsi"/>
          <w:color w:val="FFFFFF"/>
        </w:rPr>
      </w:pPr>
      <w:r w:rsidRPr="00906F2F">
        <w:rPr>
          <w:rFonts w:asciiTheme="majorHAnsi" w:eastAsiaTheme="minorEastAsia" w:hAnsiTheme="majorHAnsi" w:cstheme="majorHAnsi"/>
          <w:color w:val="000000" w:themeColor="text1"/>
          <w:kern w:val="24"/>
        </w:rPr>
        <w:t xml:space="preserve">La nomination du </w:t>
      </w:r>
      <w:r w:rsidRPr="00906F2F">
        <w:rPr>
          <w:rFonts w:asciiTheme="majorHAnsi" w:eastAsiaTheme="minorEastAsia" w:hAnsiTheme="majorHAnsi" w:cstheme="majorHAnsi"/>
          <w:color w:val="000000" w:themeColor="text1"/>
          <w:kern w:val="24"/>
          <w:highlight w:val="yellow"/>
        </w:rPr>
        <w:t xml:space="preserve">Dr </w:t>
      </w:r>
      <w:r w:rsidR="0009453D">
        <w:rPr>
          <w:rFonts w:asciiTheme="majorHAnsi" w:eastAsiaTheme="minorEastAsia" w:hAnsiTheme="majorHAnsi" w:cstheme="majorHAnsi"/>
          <w:color w:val="000000" w:themeColor="text1"/>
          <w:kern w:val="24"/>
        </w:rPr>
        <w:t>………….</w:t>
      </w:r>
      <w:r w:rsidRPr="00906F2F">
        <w:rPr>
          <w:rFonts w:asciiTheme="majorHAnsi" w:eastAsiaTheme="minorEastAsia" w:hAnsiTheme="majorHAnsi" w:cstheme="majorHAnsi"/>
          <w:color w:val="000000" w:themeColor="text1"/>
          <w:kern w:val="24"/>
        </w:rPr>
        <w:t xml:space="preserve"> </w:t>
      </w:r>
      <w:proofErr w:type="gramStart"/>
      <w:r w:rsidRPr="00906F2F">
        <w:rPr>
          <w:rFonts w:asciiTheme="majorHAnsi" w:eastAsiaTheme="minorEastAsia" w:hAnsiTheme="majorHAnsi" w:cstheme="majorHAnsi"/>
          <w:color w:val="000000" w:themeColor="text1"/>
          <w:kern w:val="24"/>
        </w:rPr>
        <w:t>a</w:t>
      </w:r>
      <w:proofErr w:type="gramEnd"/>
      <w:r w:rsidRPr="00906F2F">
        <w:rPr>
          <w:rFonts w:asciiTheme="majorHAnsi" w:eastAsiaTheme="minorEastAsia" w:hAnsiTheme="majorHAnsi" w:cstheme="majorHAnsi"/>
          <w:color w:val="000000" w:themeColor="text1"/>
          <w:kern w:val="24"/>
        </w:rPr>
        <w:t xml:space="preserve"> été enregistrée au niveau régional auprès de </w:t>
      </w:r>
      <w:r w:rsidRPr="00906F2F">
        <w:rPr>
          <w:rFonts w:asciiTheme="majorHAnsi" w:eastAsiaTheme="minorEastAsia" w:hAnsiTheme="majorHAnsi" w:cstheme="majorHAnsi"/>
          <w:color w:val="000000" w:themeColor="text1"/>
          <w:kern w:val="24"/>
          <w:highlight w:val="yellow"/>
        </w:rPr>
        <w:t>l’ARS</w:t>
      </w:r>
      <w:r w:rsidRPr="00906F2F">
        <w:rPr>
          <w:rFonts w:asciiTheme="majorHAnsi" w:eastAsiaTheme="minorEastAsia" w:hAnsiTheme="majorHAnsi" w:cstheme="majorHAnsi"/>
          <w:color w:val="000000" w:themeColor="text1"/>
          <w:kern w:val="24"/>
        </w:rPr>
        <w:t xml:space="preserve"> </w:t>
      </w:r>
      <w:r w:rsidRPr="00906F2F">
        <w:rPr>
          <w:rFonts w:asciiTheme="majorHAnsi" w:eastAsiaTheme="minorEastAsia" w:hAnsiTheme="majorHAnsi" w:cstheme="majorHAnsi"/>
          <w:color w:val="000000" w:themeColor="text1"/>
          <w:kern w:val="24"/>
          <w:highlight w:val="yellow"/>
        </w:rPr>
        <w:t>CVL</w:t>
      </w:r>
      <w:r w:rsidRPr="00906F2F">
        <w:rPr>
          <w:rFonts w:asciiTheme="majorHAnsi" w:eastAsiaTheme="minorEastAsia" w:hAnsiTheme="majorHAnsi" w:cstheme="majorHAnsi"/>
          <w:color w:val="000000" w:themeColor="text1"/>
          <w:kern w:val="24"/>
        </w:rPr>
        <w:t xml:space="preserve"> et au niveau national auprès de l’ANSM.</w:t>
      </w:r>
    </w:p>
    <w:p w:rsidR="00906F2F" w:rsidRPr="00906F2F" w:rsidRDefault="00906F2F" w:rsidP="00906F2F">
      <w:pPr>
        <w:spacing w:line="216" w:lineRule="auto"/>
        <w:jc w:val="both"/>
        <w:rPr>
          <w:rFonts w:asciiTheme="majorHAnsi" w:hAnsiTheme="majorHAnsi" w:cstheme="majorHAnsi"/>
          <w:color w:val="FFFFFF"/>
        </w:rPr>
      </w:pPr>
    </w:p>
    <w:p w:rsidR="00906F2F" w:rsidRPr="00906F2F" w:rsidRDefault="00906F2F" w:rsidP="000B1F76">
      <w:pPr>
        <w:pStyle w:val="Paragraphedeliste"/>
        <w:spacing w:line="216" w:lineRule="auto"/>
        <w:ind w:left="0"/>
        <w:jc w:val="both"/>
        <w:rPr>
          <w:rFonts w:asciiTheme="majorHAnsi" w:eastAsiaTheme="minorEastAsia" w:hAnsiTheme="majorHAnsi" w:cstheme="majorHAnsi"/>
          <w:color w:val="000000" w:themeColor="text1"/>
          <w:kern w:val="24"/>
        </w:rPr>
      </w:pPr>
      <w:r w:rsidRPr="00906F2F">
        <w:rPr>
          <w:rFonts w:asciiTheme="majorHAnsi" w:eastAsiaTheme="minorEastAsia" w:hAnsiTheme="majorHAnsi" w:cstheme="majorHAnsi"/>
          <w:color w:val="000000" w:themeColor="text1"/>
          <w:kern w:val="24"/>
          <w:highlight w:val="yellow"/>
        </w:rPr>
        <w:t xml:space="preserve">Le Dr </w:t>
      </w:r>
      <w:r w:rsidR="0009453D">
        <w:rPr>
          <w:rFonts w:asciiTheme="majorHAnsi" w:eastAsiaTheme="minorEastAsia" w:hAnsiTheme="majorHAnsi" w:cstheme="majorHAnsi"/>
          <w:color w:val="000000" w:themeColor="text1"/>
          <w:kern w:val="24"/>
        </w:rPr>
        <w:t>…………</w:t>
      </w:r>
      <w:r w:rsidRPr="00906F2F">
        <w:rPr>
          <w:rFonts w:asciiTheme="majorHAnsi" w:eastAsiaTheme="minorEastAsia" w:hAnsiTheme="majorHAnsi" w:cstheme="majorHAnsi"/>
          <w:color w:val="000000" w:themeColor="text1"/>
          <w:kern w:val="24"/>
        </w:rPr>
        <w:t xml:space="preserve">dispose de droits pour l’accès au logiciel National e-FIT. L’accès se fait, </w:t>
      </w:r>
      <w:r w:rsidRPr="0009453D">
        <w:rPr>
          <w:rFonts w:asciiTheme="majorHAnsi" w:eastAsiaTheme="minorEastAsia" w:hAnsiTheme="majorHAnsi" w:cstheme="majorHAnsi"/>
          <w:color w:val="000000" w:themeColor="text1"/>
          <w:kern w:val="24"/>
        </w:rPr>
        <w:t>via la carte</w:t>
      </w:r>
      <w:r w:rsidRPr="00906F2F">
        <w:rPr>
          <w:rFonts w:asciiTheme="majorHAnsi" w:eastAsiaTheme="minorEastAsia" w:hAnsiTheme="majorHAnsi" w:cstheme="majorHAnsi"/>
          <w:color w:val="000000" w:themeColor="text1"/>
          <w:kern w:val="24"/>
        </w:rPr>
        <w:t xml:space="preserve"> CPS du </w:t>
      </w:r>
      <w:r w:rsidRPr="00906F2F">
        <w:rPr>
          <w:rFonts w:asciiTheme="majorHAnsi" w:eastAsiaTheme="minorEastAsia" w:hAnsiTheme="majorHAnsi" w:cstheme="majorHAnsi"/>
          <w:color w:val="000000" w:themeColor="text1"/>
          <w:kern w:val="24"/>
          <w:highlight w:val="yellow"/>
        </w:rPr>
        <w:t xml:space="preserve">Dr </w:t>
      </w:r>
      <w:r w:rsidR="0009453D">
        <w:rPr>
          <w:rFonts w:asciiTheme="majorHAnsi" w:eastAsiaTheme="minorEastAsia" w:hAnsiTheme="majorHAnsi" w:cstheme="majorHAnsi"/>
          <w:color w:val="000000" w:themeColor="text1"/>
          <w:kern w:val="24"/>
          <w:highlight w:val="yellow"/>
        </w:rPr>
        <w:t>………</w:t>
      </w:r>
      <w:proofErr w:type="gramStart"/>
      <w:r w:rsidR="0009453D">
        <w:rPr>
          <w:rFonts w:asciiTheme="majorHAnsi" w:eastAsiaTheme="minorEastAsia" w:hAnsiTheme="majorHAnsi" w:cstheme="majorHAnsi"/>
          <w:color w:val="000000" w:themeColor="text1"/>
          <w:kern w:val="24"/>
          <w:highlight w:val="yellow"/>
        </w:rPr>
        <w:t>…….</w:t>
      </w:r>
      <w:proofErr w:type="gramEnd"/>
      <w:r w:rsidRPr="00906F2F">
        <w:rPr>
          <w:rFonts w:asciiTheme="majorHAnsi" w:eastAsiaTheme="minorEastAsia" w:hAnsiTheme="majorHAnsi" w:cstheme="majorHAnsi"/>
          <w:color w:val="000000" w:themeColor="text1"/>
          <w:kern w:val="24"/>
          <w:highlight w:val="yellow"/>
        </w:rPr>
        <w:t>,</w:t>
      </w:r>
      <w:r w:rsidRPr="00906F2F">
        <w:rPr>
          <w:rFonts w:asciiTheme="majorHAnsi" w:eastAsiaTheme="minorEastAsia" w:hAnsiTheme="majorHAnsi" w:cstheme="majorHAnsi"/>
          <w:color w:val="000000" w:themeColor="text1"/>
          <w:kern w:val="24"/>
        </w:rPr>
        <w:t xml:space="preserve"> et permet une déclaration en ligne des EIR et FIG, et la production du bilan annuel d’activité </w:t>
      </w:r>
      <w:r w:rsidRPr="0009453D">
        <w:rPr>
          <w:rFonts w:asciiTheme="majorHAnsi" w:eastAsiaTheme="minorEastAsia" w:hAnsiTheme="majorHAnsi" w:cstheme="majorHAnsi"/>
          <w:color w:val="000000" w:themeColor="text1"/>
          <w:kern w:val="24"/>
        </w:rPr>
        <w:t xml:space="preserve">transfusionnelle </w:t>
      </w:r>
      <w:r w:rsidR="00D356F2" w:rsidRPr="0009453D">
        <w:rPr>
          <w:rFonts w:asciiTheme="majorHAnsi" w:eastAsiaTheme="minorEastAsia" w:hAnsiTheme="majorHAnsi" w:cstheme="majorHAnsi"/>
          <w:color w:val="000000" w:themeColor="text1"/>
          <w:kern w:val="24"/>
        </w:rPr>
        <w:t>de l’HAD</w:t>
      </w:r>
      <w:r w:rsidRPr="00906F2F">
        <w:rPr>
          <w:rFonts w:asciiTheme="majorHAnsi" w:eastAsiaTheme="minorEastAsia" w:hAnsiTheme="majorHAnsi" w:cstheme="majorHAnsi"/>
          <w:color w:val="000000" w:themeColor="text1"/>
          <w:kern w:val="24"/>
        </w:rPr>
        <w:t xml:space="preserve"> </w:t>
      </w:r>
    </w:p>
    <w:p w:rsidR="000B1F76" w:rsidRDefault="000B1F76" w:rsidP="00906F2F">
      <w:pPr>
        <w:ind w:firstLine="708"/>
      </w:pPr>
    </w:p>
    <w:p w:rsidR="000B1F76" w:rsidRDefault="000B1F76" w:rsidP="000B1F76"/>
    <w:p w:rsidR="000B1F76" w:rsidRDefault="000B1F76" w:rsidP="000B1F76">
      <w:r w:rsidRPr="001C067C">
        <w:rPr>
          <w:rFonts w:ascii="Gill Sans MT" w:hAnsi="Gill Sans MT"/>
          <w:noProof/>
          <w:color w:val="FFFFFF"/>
          <w:lang w:eastAsia="fr-FR"/>
        </w:rPr>
        <mc:AlternateContent>
          <mc:Choice Requires="wps">
            <w:drawing>
              <wp:anchor distT="45720" distB="45720" distL="114300" distR="114300" simplePos="0" relativeHeight="251665408" behindDoc="0" locked="0" layoutInCell="1" allowOverlap="1" wp14:anchorId="1AF3C245" wp14:editId="147096FA">
                <wp:simplePos x="0" y="0"/>
                <wp:positionH relativeFrom="column">
                  <wp:posOffset>0</wp:posOffset>
                </wp:positionH>
                <wp:positionV relativeFrom="paragraph">
                  <wp:posOffset>274955</wp:posOffset>
                </wp:positionV>
                <wp:extent cx="5916295" cy="346710"/>
                <wp:effectExtent l="0" t="0" r="27305" b="1524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46710"/>
                        </a:xfrm>
                        <a:prstGeom prst="rect">
                          <a:avLst/>
                        </a:prstGeom>
                        <a:solidFill>
                          <a:srgbClr val="FFFFFF"/>
                        </a:solidFill>
                        <a:ln w="9525">
                          <a:solidFill>
                            <a:srgbClr val="000000"/>
                          </a:solidFill>
                          <a:miter lim="800000"/>
                          <a:headEnd/>
                          <a:tailEnd/>
                        </a:ln>
                      </wps:spPr>
                      <wps:txbx>
                        <w:txbxContent>
                          <w:p w:rsidR="000B1F76" w:rsidRPr="000B1F76" w:rsidRDefault="000B1F76" w:rsidP="000B1F76">
                            <w:pPr>
                              <w:jc w:val="center"/>
                              <w:rPr>
                                <w:rFonts w:asciiTheme="majorHAnsi" w:hAnsiTheme="majorHAnsi" w:cstheme="majorHAnsi"/>
                                <w:b/>
                                <w:sz w:val="24"/>
                                <w:szCs w:val="24"/>
                              </w:rPr>
                            </w:pPr>
                            <w:r w:rsidRPr="000B1F76">
                              <w:rPr>
                                <w:rFonts w:asciiTheme="majorHAnsi" w:hAnsiTheme="majorHAnsi" w:cstheme="majorHAnsi"/>
                                <w:b/>
                                <w:sz w:val="24"/>
                                <w:szCs w:val="24"/>
                              </w:rPr>
                              <w:t>LES FILS ROUGES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3C245" id="Zone de texte 5" o:spid="_x0000_s1028" type="#_x0000_t202" style="position:absolute;margin-left:0;margin-top:21.65pt;width:465.85pt;height:27.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">
                <v:textbox>
                  <w:txbxContent>
                    <w:p w:rsidR="000B1F76" w:rsidRPr="000B1F76" w:rsidRDefault="000B1F76" w:rsidP="000B1F76">
                      <w:pPr>
                        <w:jc w:val="center"/>
                        <w:rPr>
                          <w:rFonts w:asciiTheme="majorHAnsi" w:hAnsiTheme="majorHAnsi" w:cstheme="majorHAnsi"/>
                          <w:b/>
                          <w:sz w:val="24"/>
                          <w:szCs w:val="24"/>
                        </w:rPr>
                      </w:pPr>
                      <w:r w:rsidRPr="000B1F76">
                        <w:rPr>
                          <w:rFonts w:asciiTheme="majorHAnsi" w:hAnsiTheme="majorHAnsi" w:cstheme="majorHAnsi"/>
                          <w:b/>
                          <w:sz w:val="24"/>
                          <w:szCs w:val="24"/>
                        </w:rPr>
                        <w:t>LES FILS ROUGES</w:t>
                      </w:r>
                    </w:p>
                  </w:txbxContent>
                </v:textbox>
                <w10:wrap type="square"/>
              </v:shape>
            </w:pict>
          </mc:Fallback>
        </mc:AlternateContent>
      </w:r>
    </w:p>
    <w:p w:rsidR="000B1F76" w:rsidRPr="000B1F76" w:rsidRDefault="000B1F76" w:rsidP="000B1F76">
      <w:pPr>
        <w:spacing w:line="216" w:lineRule="auto"/>
        <w:jc w:val="both"/>
        <w:rPr>
          <w:rFonts w:asciiTheme="majorHAnsi" w:eastAsia="Times New Roman" w:hAnsiTheme="majorHAnsi" w:cstheme="majorHAnsi"/>
          <w:sz w:val="24"/>
          <w:szCs w:val="24"/>
          <w:lang w:eastAsia="fr-FR"/>
        </w:rPr>
      </w:pPr>
      <w:r w:rsidRPr="000B1F76">
        <w:rPr>
          <w:rFonts w:asciiTheme="majorHAnsi" w:eastAsia="Times New Roman" w:hAnsiTheme="majorHAnsi" w:cstheme="majorHAnsi"/>
          <w:b/>
          <w:sz w:val="24"/>
          <w:szCs w:val="24"/>
          <w:u w:val="single"/>
          <w:lang w:eastAsia="fr-FR"/>
        </w:rPr>
        <w:t>Les fils rouges sont</w:t>
      </w:r>
      <w:r w:rsidRPr="000B1F76">
        <w:rPr>
          <w:rFonts w:asciiTheme="majorHAnsi" w:eastAsia="Times New Roman" w:hAnsiTheme="majorHAnsi" w:cstheme="majorHAnsi"/>
          <w:sz w:val="24"/>
          <w:szCs w:val="24"/>
          <w:lang w:eastAsia="fr-FR"/>
        </w:rPr>
        <w:t xml:space="preserve"> : </w:t>
      </w:r>
    </w:p>
    <w:p w:rsidR="000B1F76" w:rsidRPr="000B1F76" w:rsidRDefault="000B1F76" w:rsidP="000B1F76">
      <w:pPr>
        <w:pStyle w:val="Paragraphedeliste"/>
        <w:numPr>
          <w:ilvl w:val="2"/>
          <w:numId w:val="25"/>
        </w:numPr>
        <w:tabs>
          <w:tab w:val="clear" w:pos="2160"/>
          <w:tab w:val="num" w:pos="0"/>
        </w:tabs>
        <w:spacing w:after="0" w:line="216" w:lineRule="auto"/>
        <w:ind w:left="709" w:hanging="283"/>
        <w:jc w:val="both"/>
        <w:rPr>
          <w:rFonts w:asciiTheme="majorHAnsi" w:hAnsiTheme="majorHAnsi" w:cstheme="majorHAnsi"/>
        </w:rPr>
      </w:pPr>
      <w:r w:rsidRPr="000B1F76">
        <w:rPr>
          <w:rFonts w:asciiTheme="majorHAnsi" w:hAnsiTheme="majorHAnsi" w:cstheme="majorHAnsi"/>
        </w:rPr>
        <w:t xml:space="preserve">Des infirmiers volontaires, qui seront accompagnés par le médecin </w:t>
      </w:r>
      <w:proofErr w:type="spellStart"/>
      <w:r w:rsidRPr="000B1F76">
        <w:rPr>
          <w:rFonts w:asciiTheme="majorHAnsi" w:hAnsiTheme="majorHAnsi" w:cstheme="majorHAnsi"/>
        </w:rPr>
        <w:t>hémovigilant</w:t>
      </w:r>
      <w:proofErr w:type="spellEnd"/>
      <w:r w:rsidRPr="000B1F76">
        <w:rPr>
          <w:rFonts w:asciiTheme="majorHAnsi" w:hAnsiTheme="majorHAnsi" w:cstheme="majorHAnsi"/>
        </w:rPr>
        <w:t xml:space="preserve"> et au sein </w:t>
      </w:r>
      <w:r w:rsidRPr="0009453D">
        <w:rPr>
          <w:rFonts w:asciiTheme="majorHAnsi" w:hAnsiTheme="majorHAnsi" w:cstheme="majorHAnsi"/>
        </w:rPr>
        <w:t>de l’HAD dans le cadre du plan de formation institutionnel afin d’acquérir l’expertise nécessai</w:t>
      </w:r>
      <w:r w:rsidRPr="000B1F76">
        <w:rPr>
          <w:rFonts w:asciiTheme="majorHAnsi" w:hAnsiTheme="majorHAnsi" w:cstheme="majorHAnsi"/>
        </w:rPr>
        <w:t>re dans le domaine de la transfusion sanguine et de la g</w:t>
      </w:r>
      <w:r>
        <w:rPr>
          <w:rFonts w:asciiTheme="majorHAnsi" w:hAnsiTheme="majorHAnsi" w:cstheme="majorHAnsi"/>
        </w:rPr>
        <w:t>estion du risque transfusionnel</w:t>
      </w:r>
    </w:p>
    <w:p w:rsidR="000B1F76" w:rsidRPr="000B1F76" w:rsidRDefault="000B1F76" w:rsidP="000B1F76">
      <w:pPr>
        <w:pStyle w:val="Paragraphedeliste"/>
        <w:spacing w:line="216" w:lineRule="auto"/>
        <w:ind w:left="709" w:hanging="283"/>
        <w:jc w:val="both"/>
        <w:rPr>
          <w:rFonts w:asciiTheme="majorHAnsi" w:hAnsiTheme="majorHAnsi" w:cstheme="majorHAnsi"/>
        </w:rPr>
      </w:pPr>
    </w:p>
    <w:p w:rsidR="000B1F76" w:rsidRPr="000B1F76" w:rsidRDefault="000B1F76" w:rsidP="000B1F76">
      <w:pPr>
        <w:pStyle w:val="Paragraphedeliste"/>
        <w:numPr>
          <w:ilvl w:val="2"/>
          <w:numId w:val="25"/>
        </w:numPr>
        <w:tabs>
          <w:tab w:val="clear" w:pos="2160"/>
          <w:tab w:val="num" w:pos="0"/>
        </w:tabs>
        <w:spacing w:after="0" w:line="216" w:lineRule="auto"/>
        <w:ind w:left="709" w:hanging="283"/>
        <w:jc w:val="both"/>
        <w:rPr>
          <w:rFonts w:asciiTheme="majorHAnsi" w:hAnsiTheme="majorHAnsi" w:cstheme="majorHAnsi"/>
        </w:rPr>
      </w:pPr>
      <w:r w:rsidRPr="000B1F76">
        <w:rPr>
          <w:rFonts w:asciiTheme="majorHAnsi" w:hAnsiTheme="majorHAnsi" w:cstheme="majorHAnsi"/>
        </w:rPr>
        <w:t>Référents au sein de chaque secteur de l’HAD (formation et maitrise de la gestion documentaire gestion du risque transfusionnel) ils répondent à la majorité des questionnements des soignants au quotidien.</w:t>
      </w:r>
    </w:p>
    <w:p w:rsidR="000B1F76" w:rsidRPr="000B1F76" w:rsidRDefault="000B1F76" w:rsidP="000B1F76">
      <w:pPr>
        <w:pStyle w:val="Paragraphedeliste"/>
        <w:spacing w:line="216" w:lineRule="auto"/>
        <w:ind w:left="709" w:hanging="283"/>
        <w:jc w:val="both"/>
        <w:rPr>
          <w:rFonts w:asciiTheme="majorHAnsi" w:hAnsiTheme="majorHAnsi" w:cstheme="majorHAnsi"/>
        </w:rPr>
      </w:pPr>
    </w:p>
    <w:p w:rsidR="000B1F76" w:rsidRPr="000B1F76" w:rsidRDefault="000B1F76" w:rsidP="000B1F76">
      <w:pPr>
        <w:pStyle w:val="Paragraphedeliste"/>
        <w:numPr>
          <w:ilvl w:val="2"/>
          <w:numId w:val="25"/>
        </w:numPr>
        <w:tabs>
          <w:tab w:val="clear" w:pos="2160"/>
          <w:tab w:val="num" w:pos="0"/>
        </w:tabs>
        <w:spacing w:after="0" w:line="216" w:lineRule="auto"/>
        <w:ind w:left="709" w:hanging="283"/>
        <w:jc w:val="both"/>
        <w:rPr>
          <w:rFonts w:asciiTheme="majorHAnsi" w:hAnsiTheme="majorHAnsi" w:cstheme="majorHAnsi"/>
        </w:rPr>
      </w:pPr>
      <w:r w:rsidRPr="000B1F76">
        <w:rPr>
          <w:rFonts w:asciiTheme="majorHAnsi" w:hAnsiTheme="majorHAnsi" w:cstheme="majorHAnsi"/>
        </w:rPr>
        <w:t>Des professionnels qui n’ont pas de rôle hiérarchique. La convention collective ne permet pas une revalorisation de salaire du fait de cette fonction. Cependant l’encadrement dans la mesure du possible les rend disponible pour les CSTH. Ce temps de réunion comme le temps de formation est du temps travaillé.</w:t>
      </w:r>
    </w:p>
    <w:p w:rsidR="000B1F76" w:rsidRPr="000B1F76" w:rsidRDefault="000B1F76" w:rsidP="000B1F76">
      <w:pPr>
        <w:pStyle w:val="Paragraphedeliste"/>
        <w:ind w:left="709" w:hanging="283"/>
        <w:rPr>
          <w:rFonts w:asciiTheme="majorHAnsi" w:hAnsiTheme="majorHAnsi" w:cstheme="majorHAnsi"/>
        </w:rPr>
      </w:pPr>
    </w:p>
    <w:p w:rsidR="000B1F76" w:rsidRPr="000B1F76" w:rsidRDefault="000B1F76" w:rsidP="000B1F76">
      <w:pPr>
        <w:pStyle w:val="Paragraphedeliste"/>
        <w:numPr>
          <w:ilvl w:val="2"/>
          <w:numId w:val="25"/>
        </w:numPr>
        <w:tabs>
          <w:tab w:val="clear" w:pos="2160"/>
          <w:tab w:val="num" w:pos="0"/>
        </w:tabs>
        <w:spacing w:after="0" w:line="216" w:lineRule="auto"/>
        <w:ind w:left="709" w:hanging="283"/>
        <w:jc w:val="both"/>
        <w:rPr>
          <w:rFonts w:asciiTheme="majorHAnsi" w:hAnsiTheme="majorHAnsi" w:cstheme="majorHAnsi"/>
        </w:rPr>
      </w:pPr>
      <w:r w:rsidRPr="000B1F76">
        <w:rPr>
          <w:rFonts w:asciiTheme="majorHAnsi" w:hAnsiTheme="majorHAnsi" w:cstheme="majorHAnsi"/>
        </w:rPr>
        <w:t>Membres de droit du CSTH</w:t>
      </w:r>
    </w:p>
    <w:p w:rsidR="000B1F76" w:rsidRPr="000B1F76" w:rsidRDefault="000B1F76" w:rsidP="000B1F76">
      <w:pPr>
        <w:pStyle w:val="Paragraphedeliste"/>
        <w:ind w:left="709" w:hanging="283"/>
        <w:rPr>
          <w:rFonts w:asciiTheme="majorHAnsi" w:hAnsiTheme="majorHAnsi" w:cstheme="majorHAnsi"/>
        </w:rPr>
      </w:pPr>
    </w:p>
    <w:p w:rsidR="000B1F76" w:rsidRPr="000B1F76" w:rsidRDefault="000B1F76" w:rsidP="000B1F76">
      <w:pPr>
        <w:pStyle w:val="Paragraphedeliste"/>
        <w:numPr>
          <w:ilvl w:val="2"/>
          <w:numId w:val="25"/>
        </w:numPr>
        <w:tabs>
          <w:tab w:val="clear" w:pos="2160"/>
          <w:tab w:val="num" w:pos="0"/>
        </w:tabs>
        <w:spacing w:after="0" w:line="216" w:lineRule="auto"/>
        <w:ind w:left="709" w:hanging="283"/>
        <w:jc w:val="both"/>
        <w:rPr>
          <w:rFonts w:asciiTheme="majorHAnsi" w:hAnsiTheme="majorHAnsi" w:cstheme="majorHAnsi"/>
        </w:rPr>
      </w:pPr>
      <w:r w:rsidRPr="000B1F76">
        <w:rPr>
          <w:rFonts w:asciiTheme="majorHAnsi" w:hAnsiTheme="majorHAnsi" w:cstheme="majorHAnsi"/>
        </w:rPr>
        <w:t xml:space="preserve">Des relais d’information auprès des soignants (médecin et IDE) </w:t>
      </w:r>
      <w:r w:rsidRPr="0009453D">
        <w:rPr>
          <w:rFonts w:asciiTheme="majorHAnsi" w:hAnsiTheme="majorHAnsi" w:cstheme="majorHAnsi"/>
        </w:rPr>
        <w:t xml:space="preserve">de l’HAD </w:t>
      </w:r>
      <w:r w:rsidRPr="000B1F76">
        <w:rPr>
          <w:rFonts w:asciiTheme="majorHAnsi" w:hAnsiTheme="majorHAnsi" w:cstheme="majorHAnsi"/>
        </w:rPr>
        <w:t>impliqués dans cette prise en charge : lors de mises à jour des procédures, protocoles et modes opératoires (actualisation réglementaire et/ou modification des pratiques professionnelles)</w:t>
      </w:r>
    </w:p>
    <w:p w:rsidR="000B1F76" w:rsidRPr="000B1F76" w:rsidRDefault="000B1F76" w:rsidP="000B1F76">
      <w:pPr>
        <w:pStyle w:val="Paragraphedeliste"/>
        <w:ind w:left="709" w:hanging="283"/>
        <w:rPr>
          <w:rFonts w:asciiTheme="majorHAnsi" w:hAnsiTheme="majorHAnsi" w:cstheme="majorHAnsi"/>
        </w:rPr>
      </w:pPr>
    </w:p>
    <w:p w:rsidR="000B1F76" w:rsidRPr="000B1F76" w:rsidRDefault="000B1F76" w:rsidP="000B1F76">
      <w:pPr>
        <w:pStyle w:val="Paragraphedeliste"/>
        <w:numPr>
          <w:ilvl w:val="2"/>
          <w:numId w:val="25"/>
        </w:numPr>
        <w:tabs>
          <w:tab w:val="clear" w:pos="2160"/>
          <w:tab w:val="num" w:pos="0"/>
        </w:tabs>
        <w:spacing w:after="0" w:line="216" w:lineRule="auto"/>
        <w:ind w:left="709" w:hanging="283"/>
        <w:jc w:val="both"/>
        <w:rPr>
          <w:rFonts w:asciiTheme="majorHAnsi" w:hAnsiTheme="majorHAnsi" w:cstheme="majorHAnsi"/>
        </w:rPr>
      </w:pPr>
      <w:r w:rsidRPr="000B1F76">
        <w:rPr>
          <w:rFonts w:asciiTheme="majorHAnsi" w:hAnsiTheme="majorHAnsi" w:cstheme="majorHAnsi"/>
        </w:rPr>
        <w:t xml:space="preserve">Des référents en l’absence du médecin </w:t>
      </w:r>
      <w:proofErr w:type="spellStart"/>
      <w:r w:rsidRPr="000B1F76">
        <w:rPr>
          <w:rFonts w:asciiTheme="majorHAnsi" w:hAnsiTheme="majorHAnsi" w:cstheme="majorHAnsi"/>
        </w:rPr>
        <w:t>hémovigilant</w:t>
      </w:r>
      <w:proofErr w:type="spellEnd"/>
      <w:r w:rsidRPr="000B1F76">
        <w:rPr>
          <w:rFonts w:asciiTheme="majorHAnsi" w:hAnsiTheme="majorHAnsi" w:cstheme="majorHAnsi"/>
        </w:rPr>
        <w:t>, du cadre de santé ou de l’infirmier de coordination si le secrétariat n’a pas récupéré une FDN. Mais la traçabilité ne repose pas sur ces IDE, c’est le rôle propre de l’IDE qui réalise l’acte transfusionnel.</w:t>
      </w:r>
    </w:p>
    <w:p w:rsidR="000B1F76" w:rsidRPr="000B1F76" w:rsidRDefault="000B1F76" w:rsidP="000B1F76">
      <w:pPr>
        <w:pStyle w:val="Paragraphedeliste"/>
        <w:spacing w:line="216" w:lineRule="auto"/>
        <w:ind w:left="709" w:hanging="283"/>
        <w:jc w:val="both"/>
        <w:rPr>
          <w:rFonts w:asciiTheme="majorHAnsi" w:hAnsiTheme="majorHAnsi" w:cstheme="majorHAnsi"/>
        </w:rPr>
      </w:pPr>
    </w:p>
    <w:p w:rsidR="000B1F76" w:rsidRPr="000B1F76" w:rsidRDefault="000B1F76" w:rsidP="000B1F76">
      <w:pPr>
        <w:pStyle w:val="Paragraphedeliste"/>
        <w:numPr>
          <w:ilvl w:val="2"/>
          <w:numId w:val="25"/>
        </w:numPr>
        <w:tabs>
          <w:tab w:val="clear" w:pos="2160"/>
          <w:tab w:val="num" w:pos="0"/>
        </w:tabs>
        <w:spacing w:after="0" w:line="216" w:lineRule="auto"/>
        <w:ind w:left="709" w:hanging="283"/>
        <w:jc w:val="both"/>
        <w:rPr>
          <w:rFonts w:asciiTheme="majorHAnsi" w:hAnsiTheme="majorHAnsi" w:cstheme="majorHAnsi"/>
        </w:rPr>
      </w:pPr>
      <w:r w:rsidRPr="000B1F76">
        <w:rPr>
          <w:rFonts w:asciiTheme="majorHAnsi" w:hAnsiTheme="majorHAnsi" w:cstheme="majorHAnsi"/>
        </w:rPr>
        <w:t xml:space="preserve">Force de proposition, afin d’améliorer cette pratique au sein </w:t>
      </w:r>
      <w:r w:rsidRPr="0009453D">
        <w:rPr>
          <w:rFonts w:asciiTheme="majorHAnsi" w:hAnsiTheme="majorHAnsi" w:cstheme="majorHAnsi"/>
        </w:rPr>
        <w:t xml:space="preserve">de l’HAD </w:t>
      </w:r>
    </w:p>
    <w:p w:rsidR="000B1F76" w:rsidRPr="000B1F76" w:rsidRDefault="000B1F76" w:rsidP="000B1F76">
      <w:r w:rsidRPr="000C2123">
        <w:rPr>
          <w:rFonts w:ascii="Gill Sans MT" w:hAnsi="Gill Sans MT"/>
          <w:noProof/>
          <w:color w:val="FFFFFF"/>
          <w:lang w:eastAsia="fr-FR"/>
        </w:rPr>
        <mc:AlternateContent>
          <mc:Choice Requires="wps">
            <w:drawing>
              <wp:anchor distT="45720" distB="45720" distL="114300" distR="114300" simplePos="0" relativeHeight="251667456" behindDoc="0" locked="0" layoutInCell="1" allowOverlap="1" wp14:anchorId="63164565" wp14:editId="68711A6A">
                <wp:simplePos x="0" y="0"/>
                <wp:positionH relativeFrom="margin">
                  <wp:align>left</wp:align>
                </wp:positionH>
                <wp:positionV relativeFrom="paragraph">
                  <wp:posOffset>407035</wp:posOffset>
                </wp:positionV>
                <wp:extent cx="5916295" cy="346710"/>
                <wp:effectExtent l="0" t="0" r="27305" b="1524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46710"/>
                        </a:xfrm>
                        <a:prstGeom prst="rect">
                          <a:avLst/>
                        </a:prstGeom>
                        <a:solidFill>
                          <a:srgbClr val="FFFFFF"/>
                        </a:solidFill>
                        <a:ln w="9525">
                          <a:solidFill>
                            <a:srgbClr val="000000"/>
                          </a:solidFill>
                          <a:miter lim="800000"/>
                          <a:headEnd/>
                          <a:tailEnd/>
                        </a:ln>
                      </wps:spPr>
                      <wps:txbx>
                        <w:txbxContent>
                          <w:p w:rsidR="000B1F76" w:rsidRPr="000B1F76" w:rsidRDefault="000B1F76" w:rsidP="000B1F76">
                            <w:pPr>
                              <w:jc w:val="center"/>
                              <w:rPr>
                                <w:rFonts w:asciiTheme="majorHAnsi" w:hAnsiTheme="majorHAnsi" w:cstheme="majorHAnsi"/>
                                <w:b/>
                                <w:sz w:val="24"/>
                                <w:szCs w:val="24"/>
                              </w:rPr>
                            </w:pPr>
                            <w:r w:rsidRPr="000B1F76">
                              <w:rPr>
                                <w:rFonts w:asciiTheme="majorHAnsi" w:hAnsiTheme="majorHAnsi" w:cstheme="majorHAnsi"/>
                                <w:b/>
                                <w:sz w:val="24"/>
                                <w:szCs w:val="24"/>
                              </w:rPr>
                              <w:t>LE CSTH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64565" id="Zone de texte 6" o:spid="_x0000_s1029" type="#_x0000_t202" style="position:absolute;margin-left:0;margin-top:32.05pt;width:465.85pt;height:27.3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">
                <v:textbox>
                  <w:txbxContent>
                    <w:p w:rsidR="000B1F76" w:rsidRPr="000B1F76" w:rsidRDefault="000B1F76" w:rsidP="000B1F76">
                      <w:pPr>
                        <w:jc w:val="center"/>
                        <w:rPr>
                          <w:rFonts w:asciiTheme="majorHAnsi" w:hAnsiTheme="majorHAnsi" w:cstheme="majorHAnsi"/>
                          <w:b/>
                          <w:sz w:val="24"/>
                          <w:szCs w:val="24"/>
                        </w:rPr>
                      </w:pPr>
                      <w:r w:rsidRPr="000B1F76">
                        <w:rPr>
                          <w:rFonts w:asciiTheme="majorHAnsi" w:hAnsiTheme="majorHAnsi" w:cstheme="majorHAnsi"/>
                          <w:b/>
                          <w:sz w:val="24"/>
                          <w:szCs w:val="24"/>
                        </w:rPr>
                        <w:t>LE CSTH</w:t>
                      </w:r>
                    </w:p>
                  </w:txbxContent>
                </v:textbox>
                <w10:wrap type="square" anchorx="margin"/>
              </v:shape>
            </w:pict>
          </mc:Fallback>
        </mc:AlternateContent>
      </w:r>
    </w:p>
    <w:p w:rsidR="000B1F76" w:rsidRDefault="000B1F76" w:rsidP="000B1F76"/>
    <w:p w:rsidR="000B1F76" w:rsidRPr="000B1F76" w:rsidRDefault="000B1F76" w:rsidP="000B1F76">
      <w:pPr>
        <w:rPr>
          <w:b/>
          <w:u w:val="single"/>
        </w:rPr>
      </w:pPr>
      <w:r w:rsidRPr="000B1F76">
        <w:rPr>
          <w:b/>
          <w:u w:val="single"/>
        </w:rPr>
        <w:t xml:space="preserve">Bilan annuel d’activité </w:t>
      </w:r>
    </w:p>
    <w:p w:rsidR="000B1F76" w:rsidRPr="000B1F76" w:rsidRDefault="000B1F76" w:rsidP="000B1F76">
      <w:r w:rsidRPr="000B1F76">
        <w:t>Le CSTH réalise et formalise le bilan annuel d’activité qui contient :</w:t>
      </w:r>
    </w:p>
    <w:p w:rsidR="000B1F76" w:rsidRPr="000B1F76" w:rsidRDefault="000B1F76" w:rsidP="000B1F76">
      <w:pPr>
        <w:numPr>
          <w:ilvl w:val="2"/>
          <w:numId w:val="30"/>
        </w:numPr>
        <w:ind w:left="851"/>
      </w:pPr>
      <w:r w:rsidRPr="000B1F76">
        <w:t>Le bilan de l’activité de l’année</w:t>
      </w:r>
    </w:p>
    <w:p w:rsidR="000B1F76" w:rsidRPr="000B1F76" w:rsidRDefault="000B1F76" w:rsidP="000B1F76">
      <w:pPr>
        <w:numPr>
          <w:ilvl w:val="2"/>
          <w:numId w:val="30"/>
        </w:numPr>
        <w:ind w:left="851"/>
      </w:pPr>
      <w:r w:rsidRPr="000B1F76">
        <w:t>Le suivi des indicateurs QGDR suivants :</w:t>
      </w:r>
    </w:p>
    <w:p w:rsidR="000B1F76" w:rsidRPr="000B1F76" w:rsidRDefault="000B1F76" w:rsidP="000B1F76">
      <w:pPr>
        <w:numPr>
          <w:ilvl w:val="0"/>
          <w:numId w:val="31"/>
        </w:numPr>
        <w:ind w:left="1701"/>
      </w:pPr>
      <w:r w:rsidRPr="000B1F76">
        <w:t>Le taux de traçabilité des PSL (cible 100%)</w:t>
      </w:r>
    </w:p>
    <w:p w:rsidR="000B1F76" w:rsidRPr="000B1F76" w:rsidRDefault="000B1F76" w:rsidP="000B1F76">
      <w:pPr>
        <w:numPr>
          <w:ilvl w:val="0"/>
          <w:numId w:val="31"/>
        </w:numPr>
        <w:ind w:left="1701"/>
      </w:pPr>
      <w:r w:rsidRPr="000B1F76">
        <w:t>Le taux de déclaration dans le dispositif (FEIR, FIG)</w:t>
      </w:r>
    </w:p>
    <w:p w:rsidR="000B1F76" w:rsidRPr="000B1F76" w:rsidRDefault="000B1F76" w:rsidP="000B1F76">
      <w:pPr>
        <w:numPr>
          <w:ilvl w:val="0"/>
          <w:numId w:val="31"/>
        </w:numPr>
        <w:ind w:left="1701"/>
      </w:pPr>
      <w:r w:rsidRPr="000B1F76">
        <w:t>Le taux de PSL détruits/taux de PSL délivrés, avec analyse précise de chacune des causes de destruction (Indicateur de performance)</w:t>
      </w:r>
    </w:p>
    <w:p w:rsidR="000B1F76" w:rsidRPr="000B1F76" w:rsidRDefault="000B1F76" w:rsidP="000B1F76">
      <w:pPr>
        <w:numPr>
          <w:ilvl w:val="2"/>
          <w:numId w:val="30"/>
        </w:numPr>
        <w:ind w:left="851"/>
      </w:pPr>
      <w:r w:rsidRPr="000B1F76">
        <w:t>L’analyse médico économique de cette activité, afin d’améliorer l’efficience du dispositif. Cette analyse macro du dispositif prend en compte les recettes T2A du MP18 et les coûts variables (PSL, Transport de PSL, coût RH)</w:t>
      </w:r>
    </w:p>
    <w:p w:rsidR="000B1F76" w:rsidRPr="000B1F76" w:rsidRDefault="000B1F76" w:rsidP="000B1F76">
      <w:pPr>
        <w:numPr>
          <w:ilvl w:val="2"/>
          <w:numId w:val="30"/>
        </w:numPr>
        <w:ind w:left="851"/>
      </w:pPr>
      <w:r w:rsidRPr="000B1F76">
        <w:t>Une cartographie du MP 18 actualisée annuellement</w:t>
      </w:r>
    </w:p>
    <w:p w:rsidR="000B1F76" w:rsidRPr="000B1F76" w:rsidRDefault="000B1F76" w:rsidP="000B1F76">
      <w:pPr>
        <w:numPr>
          <w:ilvl w:val="2"/>
          <w:numId w:val="30"/>
        </w:numPr>
        <w:ind w:left="851"/>
      </w:pPr>
      <w:r w:rsidRPr="000B1F76">
        <w:t>Les résultats de l’audit annuel des pratiques professionnelles</w:t>
      </w:r>
    </w:p>
    <w:p w:rsidR="000B1F76" w:rsidRPr="000B1F76" w:rsidRDefault="000B1F76" w:rsidP="000B1F76">
      <w:pPr>
        <w:numPr>
          <w:ilvl w:val="2"/>
          <w:numId w:val="30"/>
        </w:numPr>
        <w:ind w:left="851"/>
      </w:pPr>
      <w:r w:rsidRPr="000B1F76">
        <w:t xml:space="preserve">Ce dispositif est intégré dans la démarche QGDR de l’établissement et tous les plans d’actions sont intégrés au PAQSS de l’HAD </w:t>
      </w:r>
      <w:r>
        <w:t>SRD</w:t>
      </w:r>
    </w:p>
    <w:p w:rsidR="000B1F76" w:rsidRPr="000B1F76" w:rsidRDefault="000B1F76" w:rsidP="000B1F76">
      <w:pPr>
        <w:numPr>
          <w:ilvl w:val="2"/>
          <w:numId w:val="30"/>
        </w:numPr>
        <w:ind w:left="851"/>
      </w:pPr>
      <w:r w:rsidRPr="000B1F76">
        <w:t>Un point sur le PAQSS (thématique gestion du risque transfusionnel) de l’année N-1 et du bilan prévisionn</w:t>
      </w:r>
      <w:r>
        <w:t>el pour l’année N+1 est réalisé</w:t>
      </w:r>
    </w:p>
    <w:p w:rsidR="000B1F76" w:rsidRPr="000B1F76" w:rsidRDefault="000B1F76" w:rsidP="000B1F76">
      <w:pPr>
        <w:numPr>
          <w:ilvl w:val="2"/>
          <w:numId w:val="30"/>
        </w:numPr>
        <w:ind w:left="851"/>
      </w:pPr>
      <w:r w:rsidRPr="000B1F76">
        <w:t>Le plan de formation prévisionnel sur la thématique gestion du risque transfusionnel pour les salariés impliqués dans ce proce</w:t>
      </w:r>
      <w:r>
        <w:t>ssus au sein de l’établissement</w:t>
      </w:r>
    </w:p>
    <w:p w:rsidR="000B1F76" w:rsidRDefault="000B1F76" w:rsidP="000B1F76">
      <w:r w:rsidRPr="000C2123">
        <w:rPr>
          <w:rFonts w:ascii="Gill Sans MT" w:hAnsi="Gill Sans MT"/>
          <w:noProof/>
          <w:color w:val="FFFFFF"/>
          <w:lang w:eastAsia="fr-FR"/>
        </w:rPr>
        <mc:AlternateContent>
          <mc:Choice Requires="wps">
            <w:drawing>
              <wp:anchor distT="45720" distB="45720" distL="114300" distR="114300" simplePos="0" relativeHeight="251669504" behindDoc="0" locked="0" layoutInCell="1" allowOverlap="1" wp14:anchorId="33F96C6B" wp14:editId="02C11C2B">
                <wp:simplePos x="0" y="0"/>
                <wp:positionH relativeFrom="margin">
                  <wp:align>left</wp:align>
                </wp:positionH>
                <wp:positionV relativeFrom="paragraph">
                  <wp:posOffset>216535</wp:posOffset>
                </wp:positionV>
                <wp:extent cx="5916295" cy="346710"/>
                <wp:effectExtent l="0" t="0" r="27305" b="1524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46710"/>
                        </a:xfrm>
                        <a:prstGeom prst="rect">
                          <a:avLst/>
                        </a:prstGeom>
                        <a:solidFill>
                          <a:srgbClr val="FFFFFF"/>
                        </a:solidFill>
                        <a:ln w="9525">
                          <a:solidFill>
                            <a:srgbClr val="000000"/>
                          </a:solidFill>
                          <a:miter lim="800000"/>
                          <a:headEnd/>
                          <a:tailEnd/>
                        </a:ln>
                      </wps:spPr>
                      <wps:txbx>
                        <w:txbxContent>
                          <w:p w:rsidR="000B1F76" w:rsidRPr="000B1F76" w:rsidRDefault="000B1F76" w:rsidP="000B1F76">
                            <w:pPr>
                              <w:jc w:val="center"/>
                              <w:rPr>
                                <w:rFonts w:asciiTheme="majorHAnsi" w:hAnsiTheme="majorHAnsi" w:cstheme="majorHAnsi"/>
                                <w:b/>
                                <w:sz w:val="24"/>
                                <w:szCs w:val="24"/>
                              </w:rPr>
                            </w:pPr>
                            <w:r w:rsidRPr="000B1F76">
                              <w:rPr>
                                <w:rFonts w:asciiTheme="majorHAnsi" w:hAnsiTheme="majorHAnsi" w:cstheme="majorHAnsi"/>
                                <w:b/>
                                <w:sz w:val="24"/>
                                <w:szCs w:val="24"/>
                              </w:rPr>
                              <w:t>GESTION DES ALERTES ASCENDANTES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96C6B" id="Zone de texte 7" o:spid="_x0000_s1030" type="#_x0000_t202" style="position:absolute;margin-left:0;margin-top:17.05pt;width:465.85pt;height:27.3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">
                <v:textbox>
                  <w:txbxContent>
                    <w:p w:rsidR="000B1F76" w:rsidRPr="000B1F76" w:rsidRDefault="000B1F76" w:rsidP="000B1F76">
                      <w:pPr>
                        <w:jc w:val="center"/>
                        <w:rPr>
                          <w:rFonts w:asciiTheme="majorHAnsi" w:hAnsiTheme="majorHAnsi" w:cstheme="majorHAnsi"/>
                          <w:b/>
                          <w:sz w:val="24"/>
                          <w:szCs w:val="24"/>
                        </w:rPr>
                      </w:pPr>
                      <w:r w:rsidRPr="000B1F76">
                        <w:rPr>
                          <w:rFonts w:asciiTheme="majorHAnsi" w:hAnsiTheme="majorHAnsi" w:cstheme="majorHAnsi"/>
                          <w:b/>
                          <w:sz w:val="24"/>
                          <w:szCs w:val="24"/>
                        </w:rPr>
                        <w:t>GESTION DES ALERTES ASCENDANTES</w:t>
                      </w:r>
                    </w:p>
                  </w:txbxContent>
                </v:textbox>
                <w10:wrap type="square" anchorx="margin"/>
              </v:shape>
            </w:pict>
          </mc:Fallback>
        </mc:AlternateContent>
      </w:r>
    </w:p>
    <w:p w:rsidR="000B1F76" w:rsidRPr="000B1F76" w:rsidRDefault="000B1F76" w:rsidP="000B1F76">
      <w:pPr>
        <w:spacing w:after="0" w:line="240" w:lineRule="auto"/>
        <w:jc w:val="both"/>
        <w:rPr>
          <w:rFonts w:asciiTheme="majorHAnsi" w:eastAsia="Times New Roman" w:hAnsiTheme="majorHAnsi" w:cstheme="majorHAnsi"/>
          <w:i/>
          <w:sz w:val="24"/>
          <w:szCs w:val="24"/>
          <w:lang w:eastAsia="fr-FR"/>
        </w:rPr>
      </w:pPr>
      <w:r>
        <w:tab/>
      </w:r>
      <w:r w:rsidRPr="000B1F76">
        <w:rPr>
          <w:rFonts w:asciiTheme="majorHAnsi" w:eastAsia="Times New Roman" w:hAnsiTheme="majorHAnsi" w:cstheme="majorHAnsi"/>
          <w:color w:val="000000"/>
          <w:kern w:val="24"/>
          <w:szCs w:val="24"/>
        </w:rPr>
        <w:t>Une procédure de gestion des alertes ascendantes est en place en cas de déclaration et signalement d’EIR et FIG dans les délais réglementaires</w:t>
      </w:r>
      <w:r w:rsidRPr="000B1F76">
        <w:rPr>
          <w:rFonts w:asciiTheme="majorHAnsi" w:eastAsia="Times New Roman" w:hAnsiTheme="majorHAnsi" w:cstheme="majorHAnsi"/>
          <w:kern w:val="24"/>
          <w:szCs w:val="24"/>
        </w:rPr>
        <w:t xml:space="preserve"> </w:t>
      </w:r>
      <w:r w:rsidR="0009453D">
        <w:rPr>
          <w:rFonts w:asciiTheme="majorHAnsi" w:eastAsia="Times New Roman" w:hAnsiTheme="majorHAnsi" w:cstheme="majorHAnsi"/>
          <w:kern w:val="24"/>
          <w:szCs w:val="24"/>
        </w:rPr>
        <w:t>(</w:t>
      </w:r>
      <w:r w:rsidR="0009453D" w:rsidRPr="0009453D">
        <w:rPr>
          <w:rFonts w:asciiTheme="majorHAnsi" w:eastAsia="Times New Roman" w:hAnsiTheme="majorHAnsi" w:cstheme="majorHAnsi"/>
          <w:i/>
          <w:kern w:val="24"/>
          <w:szCs w:val="24"/>
        </w:rPr>
        <w:t>HVCVL-HAD-TRANSFUSION-CAT-EIR</w:t>
      </w:r>
      <w:r w:rsidR="004000E2">
        <w:rPr>
          <w:rFonts w:asciiTheme="majorHAnsi" w:eastAsia="Calibri" w:hAnsiTheme="majorHAnsi" w:cstheme="majorHAnsi"/>
          <w:i/>
          <w:szCs w:val="24"/>
        </w:rPr>
        <w:t>)</w:t>
      </w:r>
    </w:p>
    <w:p w:rsidR="000B1F76" w:rsidRDefault="000B1F76" w:rsidP="000B1F76">
      <w:pPr>
        <w:tabs>
          <w:tab w:val="left" w:pos="1410"/>
        </w:tabs>
      </w:pPr>
      <w:r w:rsidRPr="000C2123">
        <w:rPr>
          <w:rFonts w:ascii="Gill Sans MT" w:hAnsi="Gill Sans MT"/>
          <w:noProof/>
          <w:color w:val="FFFFFF"/>
          <w:sz w:val="24"/>
          <w:szCs w:val="24"/>
          <w:lang w:eastAsia="fr-FR"/>
        </w:rPr>
        <mc:AlternateContent>
          <mc:Choice Requires="wps">
            <w:drawing>
              <wp:anchor distT="45720" distB="45720" distL="114300" distR="114300" simplePos="0" relativeHeight="251671552" behindDoc="0" locked="0" layoutInCell="1" allowOverlap="1" wp14:anchorId="42D1465D" wp14:editId="71853380">
                <wp:simplePos x="0" y="0"/>
                <wp:positionH relativeFrom="column">
                  <wp:posOffset>0</wp:posOffset>
                </wp:positionH>
                <wp:positionV relativeFrom="paragraph">
                  <wp:posOffset>330835</wp:posOffset>
                </wp:positionV>
                <wp:extent cx="5916295" cy="346710"/>
                <wp:effectExtent l="0" t="0" r="27305" b="1524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46710"/>
                        </a:xfrm>
                        <a:prstGeom prst="rect">
                          <a:avLst/>
                        </a:prstGeom>
                        <a:solidFill>
                          <a:srgbClr val="FFFFFF"/>
                        </a:solidFill>
                        <a:ln w="9525">
                          <a:solidFill>
                            <a:srgbClr val="000000"/>
                          </a:solidFill>
                          <a:miter lim="800000"/>
                          <a:headEnd/>
                          <a:tailEnd/>
                        </a:ln>
                      </wps:spPr>
                      <wps:txbx>
                        <w:txbxContent>
                          <w:p w:rsidR="000B1F76" w:rsidRPr="000B1F76" w:rsidRDefault="000B1F76" w:rsidP="000B1F76">
                            <w:pPr>
                              <w:jc w:val="center"/>
                              <w:rPr>
                                <w:rFonts w:asciiTheme="majorHAnsi" w:hAnsiTheme="majorHAnsi" w:cstheme="majorHAnsi"/>
                                <w:b/>
                                <w:sz w:val="24"/>
                                <w:szCs w:val="24"/>
                              </w:rPr>
                            </w:pPr>
                            <w:r w:rsidRPr="000B1F76">
                              <w:rPr>
                                <w:rFonts w:asciiTheme="majorHAnsi" w:hAnsiTheme="majorHAnsi" w:cstheme="majorHAnsi"/>
                                <w:b/>
                                <w:sz w:val="24"/>
                                <w:szCs w:val="24"/>
                              </w:rPr>
                              <w:t>GESTION DES ALERTES DESCENDANTES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1465D" id="Zone de texte 8" o:spid="_x0000_s1031" type="#_x0000_t202" style="position:absolute;margin-left:0;margin-top:26.05pt;width:465.85pt;height:27.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">
                <v:textbox>
                  <w:txbxContent>
                    <w:p w:rsidR="000B1F76" w:rsidRPr="000B1F76" w:rsidRDefault="000B1F76" w:rsidP="000B1F76">
                      <w:pPr>
                        <w:jc w:val="center"/>
                        <w:rPr>
                          <w:rFonts w:asciiTheme="majorHAnsi" w:hAnsiTheme="majorHAnsi" w:cstheme="majorHAnsi"/>
                          <w:b/>
                          <w:sz w:val="24"/>
                          <w:szCs w:val="24"/>
                        </w:rPr>
                      </w:pPr>
                      <w:r w:rsidRPr="000B1F76">
                        <w:rPr>
                          <w:rFonts w:asciiTheme="majorHAnsi" w:hAnsiTheme="majorHAnsi" w:cstheme="majorHAnsi"/>
                          <w:b/>
                          <w:sz w:val="24"/>
                          <w:szCs w:val="24"/>
                        </w:rPr>
                        <w:t>GESTION DES ALERTES DESCENDANTES</w:t>
                      </w:r>
                    </w:p>
                  </w:txbxContent>
                </v:textbox>
                <w10:wrap type="square"/>
              </v:shape>
            </w:pict>
          </mc:Fallback>
        </mc:AlternateContent>
      </w:r>
    </w:p>
    <w:p w:rsidR="000B1F76" w:rsidRPr="000B1F76" w:rsidRDefault="000B1F76" w:rsidP="000B1F76">
      <w:pPr>
        <w:spacing w:after="0" w:line="240" w:lineRule="auto"/>
        <w:jc w:val="both"/>
        <w:rPr>
          <w:rFonts w:asciiTheme="majorHAnsi" w:eastAsia="Times New Roman" w:hAnsiTheme="majorHAnsi" w:cstheme="majorHAnsi"/>
          <w:i/>
          <w:strike/>
          <w:lang w:eastAsia="fr-FR"/>
        </w:rPr>
      </w:pPr>
      <w:r w:rsidRPr="000B1F76">
        <w:rPr>
          <w:rFonts w:asciiTheme="majorHAnsi" w:eastAsiaTheme="minorEastAsia" w:hAnsiTheme="majorHAnsi" w:cstheme="majorHAnsi"/>
          <w:color w:val="000000" w:themeColor="text1"/>
          <w:kern w:val="24"/>
          <w:highlight w:val="yellow"/>
        </w:rPr>
        <w:t xml:space="preserve">Une procédure de gestion des alertes descendantes 24h/24 via un numéro de FAX : </w:t>
      </w:r>
      <w:r w:rsidR="0009453D">
        <w:rPr>
          <w:rFonts w:asciiTheme="majorHAnsi" w:eastAsiaTheme="minorEastAsia" w:hAnsiTheme="majorHAnsi" w:cstheme="majorHAnsi"/>
          <w:strike/>
          <w:color w:val="000000" w:themeColor="text1"/>
          <w:kern w:val="24"/>
          <w:highlight w:val="yellow"/>
        </w:rPr>
        <w:t>……………….</w:t>
      </w:r>
      <w:r w:rsidRPr="000B1F76">
        <w:rPr>
          <w:rFonts w:asciiTheme="majorHAnsi" w:eastAsiaTheme="minorEastAsia" w:hAnsiTheme="majorHAnsi" w:cstheme="majorHAnsi"/>
          <w:color w:val="000000" w:themeColor="text1"/>
          <w:kern w:val="24"/>
          <w:highlight w:val="yellow"/>
        </w:rPr>
        <w:t xml:space="preserve"> </w:t>
      </w:r>
      <w:proofErr w:type="gramStart"/>
      <w:r w:rsidRPr="000B1F76">
        <w:rPr>
          <w:rFonts w:asciiTheme="majorHAnsi" w:eastAsiaTheme="minorEastAsia" w:hAnsiTheme="majorHAnsi" w:cstheme="majorHAnsi"/>
          <w:color w:val="000000" w:themeColor="text1"/>
          <w:kern w:val="24"/>
          <w:highlight w:val="yellow"/>
        </w:rPr>
        <w:t>et</w:t>
      </w:r>
      <w:proofErr w:type="gramEnd"/>
      <w:r w:rsidRPr="000B1F76">
        <w:rPr>
          <w:rFonts w:asciiTheme="majorHAnsi" w:eastAsiaTheme="minorEastAsia" w:hAnsiTheme="majorHAnsi" w:cstheme="majorHAnsi"/>
          <w:color w:val="000000" w:themeColor="text1"/>
          <w:kern w:val="24"/>
          <w:highlight w:val="yellow"/>
        </w:rPr>
        <w:t xml:space="preserve"> la messagerie : </w:t>
      </w:r>
      <w:r w:rsidR="0009453D">
        <w:t>……………..</w:t>
      </w:r>
      <w:r w:rsidRPr="000B1F76">
        <w:rPr>
          <w:rFonts w:asciiTheme="majorHAnsi" w:eastAsiaTheme="minorEastAsia" w:hAnsiTheme="majorHAnsi" w:cstheme="majorHAnsi"/>
          <w:color w:val="000000" w:themeColor="text1"/>
          <w:kern w:val="24"/>
          <w:highlight w:val="yellow"/>
        </w:rPr>
        <w:t xml:space="preserve"> </w:t>
      </w:r>
      <w:proofErr w:type="gramStart"/>
      <w:r w:rsidRPr="000B1F76">
        <w:rPr>
          <w:rFonts w:asciiTheme="majorHAnsi" w:eastAsiaTheme="minorEastAsia" w:hAnsiTheme="majorHAnsi" w:cstheme="majorHAnsi"/>
          <w:color w:val="000000" w:themeColor="text1"/>
          <w:kern w:val="24"/>
          <w:highlight w:val="yellow"/>
        </w:rPr>
        <w:t>permet</w:t>
      </w:r>
      <w:proofErr w:type="gramEnd"/>
      <w:r w:rsidRPr="000B1F76">
        <w:rPr>
          <w:rFonts w:asciiTheme="majorHAnsi" w:eastAsiaTheme="minorEastAsia" w:hAnsiTheme="majorHAnsi" w:cstheme="majorHAnsi"/>
          <w:color w:val="000000" w:themeColor="text1"/>
          <w:kern w:val="24"/>
          <w:highlight w:val="yellow"/>
        </w:rPr>
        <w:t xml:space="preserve"> une veille sur les alertes adressées par l’ANSM, le site EFS ou l’ARS. Une procédure formalisée de gestion de ces alertes est en place </w:t>
      </w:r>
    </w:p>
    <w:p w:rsidR="000B1F76" w:rsidRDefault="000B1F76" w:rsidP="000B1F76">
      <w:pPr>
        <w:tabs>
          <w:tab w:val="left" w:pos="1410"/>
        </w:tabs>
      </w:pPr>
      <w:r w:rsidRPr="000C2123">
        <w:rPr>
          <w:rFonts w:ascii="Gill Sans MT" w:hAnsi="Gill Sans MT"/>
          <w:noProof/>
          <w:color w:val="FFFFFF"/>
          <w:lang w:eastAsia="fr-FR"/>
        </w:rPr>
        <mc:AlternateContent>
          <mc:Choice Requires="wps">
            <w:drawing>
              <wp:anchor distT="45720" distB="45720" distL="114300" distR="114300" simplePos="0" relativeHeight="251673600" behindDoc="0" locked="0" layoutInCell="1" allowOverlap="1" wp14:anchorId="5BD1B289" wp14:editId="16BB1653">
                <wp:simplePos x="0" y="0"/>
                <wp:positionH relativeFrom="margin">
                  <wp:align>left</wp:align>
                </wp:positionH>
                <wp:positionV relativeFrom="paragraph">
                  <wp:posOffset>401320</wp:posOffset>
                </wp:positionV>
                <wp:extent cx="5916295" cy="346710"/>
                <wp:effectExtent l="0" t="0" r="27305" b="1524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46710"/>
                        </a:xfrm>
                        <a:prstGeom prst="rect">
                          <a:avLst/>
                        </a:prstGeom>
                        <a:solidFill>
                          <a:srgbClr val="FFFFFF"/>
                        </a:solidFill>
                        <a:ln w="9525">
                          <a:solidFill>
                            <a:srgbClr val="000000"/>
                          </a:solidFill>
                          <a:miter lim="800000"/>
                          <a:headEnd/>
                          <a:tailEnd/>
                        </a:ln>
                      </wps:spPr>
                      <wps:txbx>
                        <w:txbxContent>
                          <w:p w:rsidR="000B1F76" w:rsidRPr="000B1F76" w:rsidRDefault="000B1F76" w:rsidP="000B1F76">
                            <w:pPr>
                              <w:jc w:val="center"/>
                              <w:rPr>
                                <w:rFonts w:asciiTheme="majorHAnsi" w:hAnsiTheme="majorHAnsi" w:cstheme="majorHAnsi"/>
                                <w:b/>
                                <w:sz w:val="24"/>
                                <w:szCs w:val="24"/>
                              </w:rPr>
                            </w:pPr>
                            <w:r w:rsidRPr="000B1F76">
                              <w:rPr>
                                <w:rFonts w:asciiTheme="majorHAnsi" w:hAnsiTheme="majorHAnsi" w:cstheme="majorHAnsi"/>
                                <w:b/>
                                <w:sz w:val="24"/>
                                <w:szCs w:val="24"/>
                              </w:rPr>
                              <w:t>PRESCRIPTION DE PSL ET IH ET COMMANDE DE PSL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1B289" id="Zone de texte 9" o:spid="_x0000_s1032" type="#_x0000_t202" style="position:absolute;margin-left:0;margin-top:31.6pt;width:465.85pt;height:27.3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">
                <v:textbox>
                  <w:txbxContent>
                    <w:p w:rsidR="000B1F76" w:rsidRPr="000B1F76" w:rsidRDefault="000B1F76" w:rsidP="000B1F76">
                      <w:pPr>
                        <w:jc w:val="center"/>
                        <w:rPr>
                          <w:rFonts w:asciiTheme="majorHAnsi" w:hAnsiTheme="majorHAnsi" w:cstheme="majorHAnsi"/>
                          <w:b/>
                          <w:sz w:val="24"/>
                          <w:szCs w:val="24"/>
                        </w:rPr>
                      </w:pPr>
                      <w:r w:rsidRPr="000B1F76">
                        <w:rPr>
                          <w:rFonts w:asciiTheme="majorHAnsi" w:hAnsiTheme="majorHAnsi" w:cstheme="majorHAnsi"/>
                          <w:b/>
                          <w:sz w:val="24"/>
                          <w:szCs w:val="24"/>
                        </w:rPr>
                        <w:t>PRESCRIPTION DE PSL ET IH ET COMMANDE DE PSL</w:t>
                      </w:r>
                    </w:p>
                  </w:txbxContent>
                </v:textbox>
                <w10:wrap type="square" anchorx="margin"/>
              </v:shape>
            </w:pict>
          </mc:Fallback>
        </mc:AlternateContent>
      </w:r>
    </w:p>
    <w:p w:rsidR="000B1F76" w:rsidRPr="000B1F76" w:rsidRDefault="000B1F76" w:rsidP="000B1F76">
      <w:pPr>
        <w:spacing w:after="0" w:line="240" w:lineRule="auto"/>
        <w:jc w:val="both"/>
        <w:rPr>
          <w:rFonts w:asciiTheme="majorHAnsi" w:hAnsiTheme="majorHAnsi" w:cstheme="majorHAnsi"/>
          <w:szCs w:val="24"/>
        </w:rPr>
      </w:pPr>
      <w:r w:rsidRPr="000B1F76">
        <w:rPr>
          <w:rFonts w:asciiTheme="majorHAnsi" w:hAnsiTheme="majorHAnsi" w:cstheme="majorHAnsi"/>
          <w:szCs w:val="24"/>
          <w:u w:val="single"/>
        </w:rPr>
        <w:t>Prescription des explorations IH</w:t>
      </w:r>
      <w:r w:rsidRPr="000B1F76">
        <w:rPr>
          <w:rFonts w:asciiTheme="majorHAnsi" w:hAnsiTheme="majorHAnsi" w:cstheme="majorHAnsi"/>
          <w:szCs w:val="24"/>
        </w:rPr>
        <w:t> : par le médecin coordonnateur sur ordonnance EFS</w:t>
      </w:r>
    </w:p>
    <w:p w:rsidR="000B1F76" w:rsidRPr="000B1F76" w:rsidRDefault="000B1F76" w:rsidP="000B1F76">
      <w:pPr>
        <w:spacing w:after="0" w:line="240" w:lineRule="auto"/>
        <w:rPr>
          <w:rFonts w:asciiTheme="majorHAnsi" w:hAnsiTheme="majorHAnsi" w:cstheme="majorHAnsi"/>
          <w:szCs w:val="24"/>
        </w:rPr>
      </w:pPr>
    </w:p>
    <w:p w:rsidR="000B1F76" w:rsidRPr="000B1F76" w:rsidRDefault="000B1F76" w:rsidP="000B1F76">
      <w:pPr>
        <w:spacing w:after="0" w:line="240" w:lineRule="auto"/>
        <w:rPr>
          <w:rFonts w:asciiTheme="majorHAnsi" w:hAnsiTheme="majorHAnsi" w:cstheme="majorHAnsi"/>
          <w:szCs w:val="24"/>
        </w:rPr>
      </w:pPr>
      <w:r w:rsidRPr="000B1F76">
        <w:rPr>
          <w:rFonts w:asciiTheme="majorHAnsi" w:hAnsiTheme="majorHAnsi" w:cstheme="majorHAnsi"/>
          <w:szCs w:val="24"/>
          <w:u w:val="single"/>
        </w:rPr>
        <w:t>Prescription des PSL</w:t>
      </w:r>
      <w:r w:rsidRPr="000B1F76">
        <w:rPr>
          <w:rFonts w:asciiTheme="majorHAnsi" w:hAnsiTheme="majorHAnsi" w:cstheme="majorHAnsi"/>
          <w:szCs w:val="24"/>
        </w:rPr>
        <w:t xml:space="preserve"> : sur ordonnance EFS (préciser le jour et l’heure de la transfusion) </w:t>
      </w:r>
    </w:p>
    <w:p w:rsidR="000B1F76" w:rsidRDefault="00CE17D7" w:rsidP="000B1F76">
      <w:pPr>
        <w:tabs>
          <w:tab w:val="left" w:pos="1410"/>
        </w:tabs>
      </w:pPr>
      <w:r w:rsidRPr="00B13B67">
        <w:rPr>
          <w:noProof/>
          <w:sz w:val="24"/>
          <w:szCs w:val="24"/>
          <w:lang w:eastAsia="fr-FR"/>
        </w:rPr>
        <mc:AlternateContent>
          <mc:Choice Requires="wps">
            <w:drawing>
              <wp:anchor distT="45720" distB="45720" distL="114300" distR="114300" simplePos="0" relativeHeight="251675648" behindDoc="0" locked="0" layoutInCell="1" allowOverlap="1" wp14:anchorId="3CE6B3FA" wp14:editId="79936538">
                <wp:simplePos x="0" y="0"/>
                <wp:positionH relativeFrom="margin">
                  <wp:posOffset>127000</wp:posOffset>
                </wp:positionH>
                <wp:positionV relativeFrom="paragraph">
                  <wp:posOffset>312420</wp:posOffset>
                </wp:positionV>
                <wp:extent cx="5715000" cy="1041400"/>
                <wp:effectExtent l="0" t="0" r="19050" b="2540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41400"/>
                        </a:xfrm>
                        <a:prstGeom prst="rect">
                          <a:avLst/>
                        </a:prstGeom>
                        <a:solidFill>
                          <a:srgbClr val="FFFFFF"/>
                        </a:solidFill>
                        <a:ln w="9525">
                          <a:solidFill>
                            <a:srgbClr val="000000"/>
                          </a:solidFill>
                          <a:miter lim="800000"/>
                          <a:headEnd/>
                          <a:tailEnd/>
                        </a:ln>
                      </wps:spPr>
                      <wps:txbx>
                        <w:txbxContent>
                          <w:p w:rsidR="00CE17D7" w:rsidRPr="00CE17D7" w:rsidRDefault="00CE17D7" w:rsidP="00CE17D7">
                            <w:pPr>
                              <w:spacing w:after="0" w:line="240" w:lineRule="auto"/>
                              <w:jc w:val="both"/>
                              <w:rPr>
                                <w:rFonts w:asciiTheme="majorHAnsi" w:hAnsiTheme="majorHAnsi" w:cstheme="majorHAnsi"/>
                                <w:szCs w:val="24"/>
                              </w:rPr>
                            </w:pPr>
                            <w:r w:rsidRPr="00CE17D7">
                              <w:rPr>
                                <w:rFonts w:asciiTheme="majorHAnsi" w:hAnsiTheme="majorHAnsi" w:cstheme="majorHAnsi"/>
                                <w:szCs w:val="24"/>
                              </w:rPr>
                              <w:t>La prescription avec la carte de groupe et les tubes de la RAI doivent être acheminés vers l’EFS le matin du J1 du séjour MP 18</w:t>
                            </w:r>
                          </w:p>
                          <w:p w:rsidR="00CE17D7" w:rsidRPr="00CE17D7" w:rsidRDefault="00CE17D7" w:rsidP="00CE17D7">
                            <w:pPr>
                              <w:spacing w:after="0" w:line="240" w:lineRule="auto"/>
                              <w:jc w:val="both"/>
                              <w:rPr>
                                <w:rFonts w:asciiTheme="majorHAnsi" w:hAnsiTheme="majorHAnsi" w:cstheme="majorHAnsi"/>
                                <w:szCs w:val="24"/>
                              </w:rPr>
                            </w:pPr>
                          </w:p>
                          <w:p w:rsidR="00CE17D7" w:rsidRPr="00CE17D7" w:rsidRDefault="00CE17D7" w:rsidP="00CE17D7">
                            <w:pPr>
                              <w:spacing w:after="0" w:line="240" w:lineRule="auto"/>
                              <w:jc w:val="both"/>
                              <w:rPr>
                                <w:rFonts w:asciiTheme="majorHAnsi" w:hAnsiTheme="majorHAnsi" w:cstheme="majorHAnsi"/>
                                <w:szCs w:val="24"/>
                              </w:rPr>
                            </w:pPr>
                            <w:r w:rsidRPr="00CE17D7">
                              <w:rPr>
                                <w:rFonts w:asciiTheme="majorHAnsi" w:hAnsiTheme="majorHAnsi" w:cstheme="majorHAnsi"/>
                                <w:szCs w:val="24"/>
                              </w:rPr>
                              <w:t>La prescription est adressée le J1 du séjour afin qu’il puisse la présenter aux techniciens de l’EFS le J2 lorsqu’il récupère le PSL sur le site de l’EFS.</w:t>
                            </w:r>
                          </w:p>
                          <w:p w:rsidR="00CE17D7" w:rsidRPr="003265C7" w:rsidRDefault="00CE17D7" w:rsidP="00CE17D7">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6B3FA" id="_x0000_s1033" type="#_x0000_t202" style="position:absolute;margin-left:10pt;margin-top:24.6pt;width:450pt;height:8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">
                <v:textbox>
                  <w:txbxContent>
                    <w:p w:rsidR="00CE17D7" w:rsidRPr="00CE17D7" w:rsidRDefault="00CE17D7" w:rsidP="00CE17D7">
                      <w:pPr>
                        <w:spacing w:after="0" w:line="240" w:lineRule="auto"/>
                        <w:jc w:val="both"/>
                        <w:rPr>
                          <w:rFonts w:asciiTheme="majorHAnsi" w:hAnsiTheme="majorHAnsi" w:cstheme="majorHAnsi"/>
                          <w:szCs w:val="24"/>
                        </w:rPr>
                      </w:pPr>
                      <w:r w:rsidRPr="00CE17D7">
                        <w:rPr>
                          <w:rFonts w:asciiTheme="majorHAnsi" w:hAnsiTheme="majorHAnsi" w:cstheme="majorHAnsi"/>
                          <w:szCs w:val="24"/>
                        </w:rPr>
                        <w:t>La prescription avec la carte de groupe et les tubes de la RAI doivent être acheminés vers l’EFS le matin du J1 du séjour MP 18</w:t>
                      </w:r>
                    </w:p>
                    <w:p w:rsidR="00CE17D7" w:rsidRPr="00CE17D7" w:rsidRDefault="00CE17D7" w:rsidP="00CE17D7">
                      <w:pPr>
                        <w:spacing w:after="0" w:line="240" w:lineRule="auto"/>
                        <w:jc w:val="both"/>
                        <w:rPr>
                          <w:rFonts w:asciiTheme="majorHAnsi" w:hAnsiTheme="majorHAnsi" w:cstheme="majorHAnsi"/>
                          <w:szCs w:val="24"/>
                        </w:rPr>
                      </w:pPr>
                    </w:p>
                    <w:p w:rsidR="00CE17D7" w:rsidRPr="00CE17D7" w:rsidRDefault="00CE17D7" w:rsidP="00CE17D7">
                      <w:pPr>
                        <w:spacing w:after="0" w:line="240" w:lineRule="auto"/>
                        <w:jc w:val="both"/>
                        <w:rPr>
                          <w:rFonts w:asciiTheme="majorHAnsi" w:hAnsiTheme="majorHAnsi" w:cstheme="majorHAnsi"/>
                          <w:szCs w:val="24"/>
                        </w:rPr>
                      </w:pPr>
                      <w:r w:rsidRPr="00CE17D7">
                        <w:rPr>
                          <w:rFonts w:asciiTheme="majorHAnsi" w:hAnsiTheme="majorHAnsi" w:cstheme="majorHAnsi"/>
                          <w:szCs w:val="24"/>
                        </w:rPr>
                        <w:t>La prescription est adressée le J1 du séjour afin qu’il puisse la présenter aux techniciens de l’EFS le J2 lorsqu’il récupère le PSL sur le site de l’EFS.</w:t>
                      </w:r>
                    </w:p>
                    <w:p w:rsidR="00CE17D7" w:rsidRPr="003265C7" w:rsidRDefault="00CE17D7" w:rsidP="00CE17D7">
                      <w:pPr>
                        <w:rPr>
                          <w:sz w:val="12"/>
                          <w:szCs w:val="12"/>
                        </w:rPr>
                      </w:pPr>
                    </w:p>
                  </w:txbxContent>
                </v:textbox>
                <w10:wrap type="square" anchorx="margin"/>
              </v:shape>
            </w:pict>
          </mc:Fallback>
        </mc:AlternateContent>
      </w:r>
    </w:p>
    <w:p w:rsidR="00CE17D7" w:rsidRPr="00CE17D7" w:rsidRDefault="00CE17D7" w:rsidP="00CE17D7">
      <w:pPr>
        <w:spacing w:after="0" w:line="240" w:lineRule="auto"/>
        <w:jc w:val="both"/>
        <w:rPr>
          <w:rFonts w:asciiTheme="majorHAnsi" w:hAnsiTheme="majorHAnsi" w:cstheme="majorHAnsi"/>
          <w:szCs w:val="24"/>
        </w:rPr>
      </w:pPr>
      <w:r w:rsidRPr="00CE17D7">
        <w:rPr>
          <w:rFonts w:asciiTheme="majorHAnsi" w:hAnsiTheme="majorHAnsi" w:cstheme="majorHAnsi"/>
          <w:szCs w:val="24"/>
          <w:u w:val="single"/>
        </w:rPr>
        <w:t>Prélèvement IH pré-transfusionnelle</w:t>
      </w:r>
      <w:r w:rsidRPr="00CE17D7">
        <w:rPr>
          <w:rFonts w:asciiTheme="majorHAnsi" w:hAnsiTheme="majorHAnsi" w:cstheme="majorHAnsi"/>
          <w:szCs w:val="24"/>
        </w:rPr>
        <w:t xml:space="preserve"> (carte de groupe si nécessaire et RAI pré transfusionnelle) : faite par les IDE de l’HAD ou IDEL. Les supports accompagnant les tubes sont</w:t>
      </w:r>
      <w:r w:rsidRPr="00CE17D7">
        <w:rPr>
          <w:rFonts w:asciiTheme="majorHAnsi" w:hAnsiTheme="majorHAnsi" w:cstheme="majorHAnsi"/>
          <w:szCs w:val="24"/>
          <w:u w:val="single"/>
        </w:rPr>
        <w:t xml:space="preserve"> obligatoirement</w:t>
      </w:r>
      <w:r w:rsidRPr="00CE17D7">
        <w:rPr>
          <w:rFonts w:asciiTheme="majorHAnsi" w:hAnsiTheme="majorHAnsi" w:cstheme="majorHAnsi"/>
          <w:szCs w:val="24"/>
        </w:rPr>
        <w:t xml:space="preserve"> ceux de l’EFS.</w:t>
      </w:r>
    </w:p>
    <w:p w:rsidR="00CE17D7" w:rsidRPr="00CE17D7" w:rsidRDefault="00CE17D7" w:rsidP="00CE17D7">
      <w:pPr>
        <w:spacing w:after="0" w:line="240" w:lineRule="auto"/>
        <w:jc w:val="both"/>
        <w:rPr>
          <w:rFonts w:asciiTheme="majorHAnsi" w:hAnsiTheme="majorHAnsi" w:cstheme="majorHAnsi"/>
          <w:szCs w:val="24"/>
        </w:rPr>
      </w:pPr>
    </w:p>
    <w:p w:rsidR="00CE17D7" w:rsidRDefault="00CE17D7" w:rsidP="00CE17D7">
      <w:pPr>
        <w:spacing w:after="0" w:line="240" w:lineRule="auto"/>
        <w:jc w:val="both"/>
        <w:rPr>
          <w:rFonts w:asciiTheme="majorHAnsi" w:hAnsiTheme="majorHAnsi" w:cstheme="majorHAnsi"/>
          <w:strike/>
          <w:szCs w:val="24"/>
        </w:rPr>
      </w:pPr>
      <w:r w:rsidRPr="00CE17D7">
        <w:rPr>
          <w:rFonts w:asciiTheme="majorHAnsi" w:hAnsiTheme="majorHAnsi" w:cstheme="majorHAnsi"/>
          <w:szCs w:val="24"/>
        </w:rPr>
        <w:t xml:space="preserve">Les prélèvements pré-transfusionnels sont </w:t>
      </w:r>
      <w:r w:rsidRPr="00CE17D7">
        <w:rPr>
          <w:rFonts w:asciiTheme="majorHAnsi" w:hAnsiTheme="majorHAnsi" w:cstheme="majorHAnsi"/>
          <w:szCs w:val="24"/>
          <w:highlight w:val="yellow"/>
          <w:u w:val="single"/>
        </w:rPr>
        <w:t>obligatoirement adressés à l’EFS</w:t>
      </w:r>
      <w:r w:rsidRPr="00CE17D7">
        <w:rPr>
          <w:rFonts w:asciiTheme="majorHAnsi" w:hAnsiTheme="majorHAnsi" w:cstheme="majorHAnsi"/>
          <w:szCs w:val="24"/>
          <w:highlight w:val="yellow"/>
        </w:rPr>
        <w:t xml:space="preserve"> (site</w:t>
      </w:r>
      <w:r w:rsidR="004000E2">
        <w:rPr>
          <w:rFonts w:asciiTheme="majorHAnsi" w:hAnsiTheme="majorHAnsi" w:cstheme="majorHAnsi"/>
          <w:szCs w:val="24"/>
          <w:highlight w:val="yellow"/>
        </w:rPr>
        <w:t> </w:t>
      </w:r>
      <w:proofErr w:type="gramStart"/>
      <w:r w:rsidR="004000E2">
        <w:rPr>
          <w:rFonts w:asciiTheme="majorHAnsi" w:hAnsiTheme="majorHAnsi" w:cstheme="majorHAnsi"/>
          <w:strike/>
          <w:szCs w:val="24"/>
        </w:rPr>
        <w:t>: )</w:t>
      </w:r>
      <w:proofErr w:type="gramEnd"/>
    </w:p>
    <w:p w:rsidR="00D356F2" w:rsidRDefault="00D356F2" w:rsidP="00CE17D7">
      <w:pPr>
        <w:spacing w:after="0" w:line="240" w:lineRule="auto"/>
        <w:jc w:val="both"/>
        <w:rPr>
          <w:rFonts w:asciiTheme="majorHAnsi" w:hAnsiTheme="majorHAnsi" w:cstheme="majorHAnsi"/>
          <w:strike/>
          <w:szCs w:val="24"/>
        </w:rPr>
      </w:pPr>
    </w:p>
    <w:p w:rsidR="00D356F2" w:rsidRPr="00CE17D7" w:rsidRDefault="00D356F2" w:rsidP="00CE17D7">
      <w:pPr>
        <w:spacing w:after="0" w:line="240" w:lineRule="auto"/>
        <w:jc w:val="both"/>
        <w:rPr>
          <w:rFonts w:asciiTheme="majorHAnsi" w:hAnsiTheme="majorHAnsi" w:cstheme="majorHAnsi"/>
          <w:szCs w:val="24"/>
        </w:rPr>
      </w:pPr>
    </w:p>
    <w:p w:rsidR="00CE17D7" w:rsidRPr="00CE17D7" w:rsidRDefault="00CE17D7" w:rsidP="00CE17D7">
      <w:pPr>
        <w:spacing w:after="0" w:line="240" w:lineRule="auto"/>
        <w:jc w:val="both"/>
        <w:rPr>
          <w:rFonts w:asciiTheme="majorHAnsi" w:hAnsiTheme="majorHAnsi" w:cstheme="majorHAnsi"/>
          <w:szCs w:val="24"/>
        </w:rPr>
      </w:pPr>
      <w:r w:rsidRPr="00CE17D7">
        <w:rPr>
          <w:rFonts w:asciiTheme="majorHAnsi" w:hAnsiTheme="majorHAnsi" w:cstheme="majorHAnsi"/>
          <w:szCs w:val="24"/>
          <w:u w:val="single"/>
        </w:rPr>
        <w:t>En cas d’EIR</w:t>
      </w:r>
      <w:r w:rsidRPr="00CE17D7">
        <w:rPr>
          <w:rFonts w:asciiTheme="majorHAnsi" w:hAnsiTheme="majorHAnsi" w:cstheme="majorHAnsi"/>
          <w:szCs w:val="24"/>
        </w:rPr>
        <w:t xml:space="preserve"> : </w:t>
      </w:r>
    </w:p>
    <w:p w:rsidR="00CE17D7" w:rsidRPr="00CE17D7" w:rsidRDefault="00CE17D7" w:rsidP="00CE17D7">
      <w:pPr>
        <w:spacing w:after="0" w:line="240" w:lineRule="auto"/>
        <w:jc w:val="both"/>
        <w:rPr>
          <w:rFonts w:asciiTheme="majorHAnsi" w:hAnsiTheme="majorHAnsi" w:cstheme="majorHAnsi"/>
          <w:szCs w:val="24"/>
        </w:rPr>
      </w:pPr>
    </w:p>
    <w:p w:rsidR="00CE17D7" w:rsidRPr="00CE17D7" w:rsidRDefault="00CE17D7" w:rsidP="00CE17D7">
      <w:pPr>
        <w:spacing w:after="0" w:line="240" w:lineRule="auto"/>
        <w:jc w:val="both"/>
        <w:rPr>
          <w:rFonts w:asciiTheme="majorHAnsi" w:hAnsiTheme="majorHAnsi" w:cstheme="majorHAnsi"/>
          <w:szCs w:val="24"/>
        </w:rPr>
      </w:pPr>
      <w:r w:rsidRPr="00CE17D7">
        <w:rPr>
          <w:rFonts w:asciiTheme="majorHAnsi" w:hAnsiTheme="majorHAnsi" w:cstheme="majorHAnsi"/>
          <w:szCs w:val="24"/>
        </w:rPr>
        <w:t>Prélèvements IH : adressés à l’EFS</w:t>
      </w:r>
    </w:p>
    <w:p w:rsidR="00CE17D7" w:rsidRPr="00CE17D7" w:rsidRDefault="00CE17D7" w:rsidP="00CE17D7">
      <w:pPr>
        <w:spacing w:after="0" w:line="240" w:lineRule="auto"/>
        <w:jc w:val="both"/>
        <w:rPr>
          <w:rFonts w:asciiTheme="majorHAnsi" w:hAnsiTheme="majorHAnsi" w:cstheme="majorHAnsi"/>
          <w:strike/>
          <w:szCs w:val="24"/>
        </w:rPr>
      </w:pPr>
      <w:r w:rsidRPr="00CE17D7">
        <w:rPr>
          <w:rFonts w:asciiTheme="majorHAnsi" w:hAnsiTheme="majorHAnsi" w:cstheme="majorHAnsi"/>
          <w:szCs w:val="24"/>
        </w:rPr>
        <w:t xml:space="preserve">Prélèvements non IH (hémoculture, </w:t>
      </w:r>
      <w:proofErr w:type="spellStart"/>
      <w:r w:rsidRPr="00CE17D7">
        <w:rPr>
          <w:rFonts w:asciiTheme="majorHAnsi" w:hAnsiTheme="majorHAnsi" w:cstheme="majorHAnsi"/>
          <w:szCs w:val="24"/>
        </w:rPr>
        <w:t>tryptase</w:t>
      </w:r>
      <w:proofErr w:type="spellEnd"/>
      <w:r w:rsidRPr="00CE17D7">
        <w:rPr>
          <w:rFonts w:asciiTheme="majorHAnsi" w:hAnsiTheme="majorHAnsi" w:cstheme="majorHAnsi"/>
          <w:szCs w:val="24"/>
        </w:rPr>
        <w:t xml:space="preserve">) : adressés au laboratoire :  </w:t>
      </w:r>
    </w:p>
    <w:p w:rsidR="00CE17D7" w:rsidRPr="00CE17D7" w:rsidRDefault="00CE17D7" w:rsidP="00CE17D7">
      <w:pPr>
        <w:spacing w:line="216" w:lineRule="auto"/>
        <w:jc w:val="both"/>
        <w:rPr>
          <w:rFonts w:asciiTheme="majorHAnsi" w:hAnsiTheme="majorHAnsi" w:cstheme="majorHAnsi"/>
          <w:szCs w:val="24"/>
        </w:rPr>
      </w:pPr>
    </w:p>
    <w:p w:rsidR="00CE17D7" w:rsidRPr="00CE17D7" w:rsidRDefault="00CE17D7" w:rsidP="00CE17D7">
      <w:pPr>
        <w:spacing w:line="216" w:lineRule="auto"/>
        <w:jc w:val="both"/>
        <w:rPr>
          <w:rFonts w:asciiTheme="majorHAnsi" w:hAnsiTheme="majorHAnsi" w:cstheme="majorHAnsi"/>
          <w:szCs w:val="24"/>
        </w:rPr>
      </w:pPr>
      <w:r w:rsidRPr="00CE17D7">
        <w:rPr>
          <w:rFonts w:asciiTheme="majorHAnsi" w:hAnsiTheme="majorHAnsi" w:cstheme="majorHAnsi"/>
          <w:szCs w:val="24"/>
          <w:u w:val="single"/>
        </w:rPr>
        <w:t>En post transfusionnel</w:t>
      </w:r>
      <w:r w:rsidRPr="00CE17D7">
        <w:rPr>
          <w:rFonts w:asciiTheme="majorHAnsi" w:hAnsiTheme="majorHAnsi" w:cstheme="majorHAnsi"/>
          <w:szCs w:val="24"/>
        </w:rPr>
        <w:t xml:space="preserve"> </w:t>
      </w:r>
    </w:p>
    <w:p w:rsidR="00CE17D7" w:rsidRPr="00CE17D7" w:rsidRDefault="00CE17D7" w:rsidP="00CE17D7">
      <w:pPr>
        <w:spacing w:line="216" w:lineRule="auto"/>
        <w:jc w:val="both"/>
        <w:rPr>
          <w:rFonts w:asciiTheme="majorHAnsi" w:hAnsiTheme="majorHAnsi" w:cstheme="majorHAnsi"/>
          <w:szCs w:val="24"/>
        </w:rPr>
      </w:pPr>
      <w:r w:rsidRPr="00CE17D7">
        <w:rPr>
          <w:rFonts w:asciiTheme="majorHAnsi" w:hAnsiTheme="majorHAnsi" w:cstheme="majorHAnsi"/>
          <w:szCs w:val="24"/>
        </w:rPr>
        <w:t>Le contrôle de la FNS post transfusionnel est adressé au laboratoire habituel du patient.</w:t>
      </w:r>
    </w:p>
    <w:p w:rsidR="00CE17D7" w:rsidRPr="00CE17D7" w:rsidRDefault="00CE17D7" w:rsidP="00CE17D7">
      <w:pPr>
        <w:spacing w:line="216" w:lineRule="auto"/>
        <w:jc w:val="both"/>
        <w:rPr>
          <w:rFonts w:asciiTheme="majorHAnsi" w:hAnsiTheme="majorHAnsi" w:cstheme="majorHAnsi"/>
          <w:szCs w:val="24"/>
        </w:rPr>
      </w:pPr>
      <w:r w:rsidRPr="00CE17D7">
        <w:rPr>
          <w:rFonts w:asciiTheme="majorHAnsi" w:hAnsiTheme="majorHAnsi" w:cstheme="majorHAnsi"/>
          <w:noProof/>
          <w:color w:val="FFFFFF"/>
          <w:sz w:val="20"/>
          <w:lang w:eastAsia="fr-FR"/>
        </w:rPr>
        <mc:AlternateContent>
          <mc:Choice Requires="wps">
            <w:drawing>
              <wp:anchor distT="45720" distB="45720" distL="114300" distR="114300" simplePos="0" relativeHeight="251677696" behindDoc="0" locked="0" layoutInCell="1" allowOverlap="1" wp14:anchorId="57AE5C16" wp14:editId="570F95F4">
                <wp:simplePos x="0" y="0"/>
                <wp:positionH relativeFrom="column">
                  <wp:posOffset>0</wp:posOffset>
                </wp:positionH>
                <wp:positionV relativeFrom="paragraph">
                  <wp:posOffset>562309</wp:posOffset>
                </wp:positionV>
                <wp:extent cx="5916295" cy="346710"/>
                <wp:effectExtent l="0" t="0" r="27305" b="1524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46710"/>
                        </a:xfrm>
                        <a:prstGeom prst="rect">
                          <a:avLst/>
                        </a:prstGeom>
                        <a:solidFill>
                          <a:srgbClr val="FFFFFF"/>
                        </a:solidFill>
                        <a:ln w="9525">
                          <a:solidFill>
                            <a:srgbClr val="000000"/>
                          </a:solidFill>
                          <a:miter lim="800000"/>
                          <a:headEnd/>
                          <a:tailEnd/>
                        </a:ln>
                      </wps:spPr>
                      <wps:txbx>
                        <w:txbxContent>
                          <w:p w:rsidR="00CE17D7" w:rsidRPr="00CE17D7" w:rsidRDefault="00CE17D7" w:rsidP="00CE17D7">
                            <w:pPr>
                              <w:jc w:val="center"/>
                              <w:rPr>
                                <w:rFonts w:asciiTheme="majorHAnsi" w:hAnsiTheme="majorHAnsi" w:cstheme="majorHAnsi"/>
                                <w:b/>
                                <w:sz w:val="24"/>
                                <w:szCs w:val="24"/>
                              </w:rPr>
                            </w:pPr>
                            <w:r w:rsidRPr="00CE17D7">
                              <w:rPr>
                                <w:rFonts w:asciiTheme="majorHAnsi" w:hAnsiTheme="majorHAnsi" w:cstheme="majorHAnsi"/>
                                <w:b/>
                                <w:sz w:val="24"/>
                                <w:szCs w:val="24"/>
                              </w:rPr>
                              <w:t>ORGANISATION PRATIQUE DE L’ACTE TRANSFUSIONNEL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E5C16" id="Zone de texte 11" o:spid="_x0000_s1034" type="#_x0000_t202" style="position:absolute;left:0;text-align:left;margin-left:0;margin-top:44.3pt;width:465.85pt;height:27.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">
                <v:textbox>
                  <w:txbxContent>
                    <w:p w:rsidR="00CE17D7" w:rsidRPr="00CE17D7" w:rsidRDefault="00CE17D7" w:rsidP="00CE17D7">
                      <w:pPr>
                        <w:jc w:val="center"/>
                        <w:rPr>
                          <w:rFonts w:asciiTheme="majorHAnsi" w:hAnsiTheme="majorHAnsi" w:cstheme="majorHAnsi"/>
                          <w:b/>
                          <w:sz w:val="24"/>
                          <w:szCs w:val="24"/>
                        </w:rPr>
                      </w:pPr>
                      <w:r w:rsidRPr="00CE17D7">
                        <w:rPr>
                          <w:rFonts w:asciiTheme="majorHAnsi" w:hAnsiTheme="majorHAnsi" w:cstheme="majorHAnsi"/>
                          <w:b/>
                          <w:sz w:val="24"/>
                          <w:szCs w:val="24"/>
                        </w:rPr>
                        <w:t>ORGANISATION PRATIQUE DE L’ACTE TRANSFUSIONNEL</w:t>
                      </w:r>
                    </w:p>
                  </w:txbxContent>
                </v:textbox>
                <w10:wrap type="square"/>
              </v:shape>
            </w:pict>
          </mc:Fallback>
        </mc:AlternateContent>
      </w:r>
      <w:r w:rsidRPr="00CE17D7">
        <w:rPr>
          <w:rFonts w:asciiTheme="majorHAnsi" w:hAnsiTheme="majorHAnsi" w:cstheme="majorHAnsi"/>
          <w:szCs w:val="24"/>
        </w:rPr>
        <w:t xml:space="preserve">RAI post transfusionnelle ou </w:t>
      </w:r>
      <w:proofErr w:type="spellStart"/>
      <w:r w:rsidRPr="00CE17D7">
        <w:rPr>
          <w:rFonts w:asciiTheme="majorHAnsi" w:hAnsiTheme="majorHAnsi" w:cstheme="majorHAnsi"/>
          <w:szCs w:val="24"/>
        </w:rPr>
        <w:t>ferritinémie</w:t>
      </w:r>
      <w:proofErr w:type="spellEnd"/>
      <w:r w:rsidRPr="00CE17D7">
        <w:rPr>
          <w:rFonts w:asciiTheme="majorHAnsi" w:hAnsiTheme="majorHAnsi" w:cstheme="majorHAnsi"/>
          <w:szCs w:val="24"/>
        </w:rPr>
        <w:t xml:space="preserve"> si nécessaire : à 1 mois, peuvent être adressés au laboratoire du patient.</w:t>
      </w:r>
    </w:p>
    <w:p w:rsidR="00CE17D7" w:rsidRDefault="00CE17D7" w:rsidP="000B1F76">
      <w:pPr>
        <w:tabs>
          <w:tab w:val="left" w:pos="1410"/>
        </w:tabs>
      </w:pPr>
    </w:p>
    <w:p w:rsidR="00CE17D7" w:rsidRPr="00CE17D7" w:rsidRDefault="00CE17D7" w:rsidP="00CE17D7">
      <w:pPr>
        <w:spacing w:after="0" w:line="240" w:lineRule="auto"/>
        <w:jc w:val="both"/>
        <w:rPr>
          <w:rFonts w:asciiTheme="majorHAnsi" w:hAnsiTheme="majorHAnsi" w:cstheme="majorHAnsi"/>
          <w:b/>
          <w:u w:val="single"/>
        </w:rPr>
      </w:pPr>
      <w:r w:rsidRPr="00CE17D7">
        <w:rPr>
          <w:rFonts w:asciiTheme="majorHAnsi" w:hAnsiTheme="majorHAnsi" w:cstheme="majorHAnsi"/>
          <w:b/>
          <w:u w:val="single"/>
        </w:rPr>
        <w:t>Quand ?</w:t>
      </w:r>
    </w:p>
    <w:p w:rsidR="00CE17D7" w:rsidRPr="00CE17D7" w:rsidRDefault="00CE17D7" w:rsidP="00CE17D7">
      <w:pPr>
        <w:spacing w:after="0" w:line="240" w:lineRule="auto"/>
        <w:jc w:val="both"/>
        <w:rPr>
          <w:rFonts w:asciiTheme="majorHAnsi" w:hAnsiTheme="majorHAnsi" w:cstheme="majorHAnsi"/>
          <w:b/>
          <w:u w:val="single"/>
        </w:rPr>
      </w:pPr>
    </w:p>
    <w:p w:rsidR="00CE17D7" w:rsidRPr="00CE17D7" w:rsidRDefault="00CE17D7" w:rsidP="00CE17D7">
      <w:pPr>
        <w:pStyle w:val="Paragraphedeliste"/>
        <w:numPr>
          <w:ilvl w:val="0"/>
          <w:numId w:val="34"/>
        </w:numPr>
        <w:spacing w:after="0" w:line="240" w:lineRule="auto"/>
        <w:ind w:left="426" w:hanging="284"/>
        <w:jc w:val="both"/>
        <w:rPr>
          <w:rFonts w:asciiTheme="majorHAnsi" w:hAnsiTheme="majorHAnsi" w:cstheme="majorHAnsi"/>
        </w:rPr>
      </w:pPr>
      <w:r w:rsidRPr="00CE17D7">
        <w:rPr>
          <w:rFonts w:asciiTheme="majorHAnsi" w:hAnsiTheme="majorHAnsi" w:cstheme="majorHAnsi"/>
        </w:rPr>
        <w:t xml:space="preserve">Les actes transfusionnels sont faits exclusivement </w:t>
      </w:r>
      <w:r w:rsidRPr="00CE17D7">
        <w:rPr>
          <w:rFonts w:asciiTheme="majorHAnsi" w:hAnsiTheme="majorHAnsi" w:cstheme="majorHAnsi"/>
          <w:u w:val="single"/>
        </w:rPr>
        <w:t>du lundi au vendredi</w:t>
      </w:r>
      <w:r w:rsidRPr="00CE17D7">
        <w:rPr>
          <w:rFonts w:asciiTheme="majorHAnsi" w:hAnsiTheme="majorHAnsi" w:cstheme="majorHAnsi"/>
        </w:rPr>
        <w:t xml:space="preserve"> (jours ouvrés – Pas d’actes transfusionnels le week-end).</w:t>
      </w:r>
    </w:p>
    <w:p w:rsidR="00CE17D7" w:rsidRPr="00CE17D7" w:rsidRDefault="00CE17D7" w:rsidP="00CE17D7">
      <w:pPr>
        <w:pStyle w:val="Paragraphedeliste"/>
        <w:ind w:left="426" w:hanging="284"/>
        <w:jc w:val="both"/>
        <w:rPr>
          <w:rFonts w:asciiTheme="majorHAnsi" w:hAnsiTheme="majorHAnsi" w:cstheme="majorHAnsi"/>
        </w:rPr>
      </w:pPr>
    </w:p>
    <w:p w:rsidR="00CE17D7" w:rsidRPr="00CE17D7" w:rsidRDefault="00CE17D7" w:rsidP="00CE17D7">
      <w:pPr>
        <w:pStyle w:val="Paragraphedeliste"/>
        <w:numPr>
          <w:ilvl w:val="0"/>
          <w:numId w:val="34"/>
        </w:numPr>
        <w:spacing w:after="0" w:line="240" w:lineRule="auto"/>
        <w:ind w:left="426" w:hanging="284"/>
        <w:jc w:val="both"/>
        <w:rPr>
          <w:rFonts w:asciiTheme="majorHAnsi" w:hAnsiTheme="majorHAnsi" w:cstheme="majorHAnsi"/>
        </w:rPr>
      </w:pPr>
      <w:r w:rsidRPr="00CE17D7">
        <w:rPr>
          <w:rFonts w:asciiTheme="majorHAnsi" w:hAnsiTheme="majorHAnsi" w:cstheme="majorHAnsi"/>
          <w:u w:val="single"/>
        </w:rPr>
        <w:t>Programmation des transfusions</w:t>
      </w:r>
      <w:r w:rsidRPr="00CE17D7">
        <w:rPr>
          <w:rFonts w:asciiTheme="majorHAnsi" w:hAnsiTheme="majorHAnsi" w:cstheme="majorHAnsi"/>
        </w:rPr>
        <w:t> :</w:t>
      </w:r>
    </w:p>
    <w:p w:rsidR="00CE17D7" w:rsidRPr="00CE17D7" w:rsidRDefault="00CE17D7" w:rsidP="00CE17D7">
      <w:pPr>
        <w:spacing w:after="0" w:line="240" w:lineRule="auto"/>
        <w:ind w:left="426" w:hanging="284"/>
        <w:jc w:val="both"/>
        <w:rPr>
          <w:rFonts w:asciiTheme="majorHAnsi" w:hAnsiTheme="majorHAnsi" w:cstheme="majorHAnsi"/>
        </w:rPr>
      </w:pPr>
    </w:p>
    <w:p w:rsidR="00CE17D7" w:rsidRPr="00CE17D7" w:rsidRDefault="00CE17D7" w:rsidP="00CE17D7">
      <w:pPr>
        <w:pStyle w:val="Paragraphedeliste"/>
        <w:numPr>
          <w:ilvl w:val="0"/>
          <w:numId w:val="30"/>
        </w:numPr>
        <w:tabs>
          <w:tab w:val="left" w:pos="567"/>
          <w:tab w:val="left" w:pos="709"/>
        </w:tabs>
        <w:spacing w:after="0" w:line="240" w:lineRule="auto"/>
        <w:ind w:left="426" w:firstLine="141"/>
        <w:jc w:val="both"/>
        <w:rPr>
          <w:rFonts w:asciiTheme="majorHAnsi" w:hAnsiTheme="majorHAnsi" w:cstheme="majorHAnsi"/>
        </w:rPr>
      </w:pPr>
      <w:proofErr w:type="gramStart"/>
      <w:r w:rsidRPr="00CE17D7">
        <w:rPr>
          <w:rFonts w:asciiTheme="majorHAnsi" w:hAnsiTheme="majorHAnsi" w:cstheme="majorHAnsi"/>
        </w:rPr>
        <w:t>par</w:t>
      </w:r>
      <w:proofErr w:type="gramEnd"/>
      <w:r w:rsidRPr="00CE17D7">
        <w:rPr>
          <w:rFonts w:asciiTheme="majorHAnsi" w:hAnsiTheme="majorHAnsi" w:cstheme="majorHAnsi"/>
        </w:rPr>
        <w:t xml:space="preserve"> les </w:t>
      </w:r>
      <w:r w:rsidRPr="00CE17D7">
        <w:rPr>
          <w:rFonts w:asciiTheme="majorHAnsi" w:hAnsiTheme="majorHAnsi" w:cstheme="majorHAnsi"/>
          <w:u w:val="single"/>
        </w:rPr>
        <w:t>IDE de liaison</w:t>
      </w:r>
      <w:r w:rsidRPr="00CE17D7">
        <w:rPr>
          <w:rFonts w:asciiTheme="majorHAnsi" w:hAnsiTheme="majorHAnsi" w:cstheme="majorHAnsi"/>
        </w:rPr>
        <w:t xml:space="preserve"> sur le planning des transfusions sanguines : si prise en charge HAD uniquement pour transfusion.</w:t>
      </w:r>
    </w:p>
    <w:p w:rsidR="00CE17D7" w:rsidRPr="00CE17D7" w:rsidRDefault="00CE17D7" w:rsidP="00CE17D7">
      <w:pPr>
        <w:pStyle w:val="Paragraphedeliste"/>
        <w:numPr>
          <w:ilvl w:val="0"/>
          <w:numId w:val="30"/>
        </w:numPr>
        <w:tabs>
          <w:tab w:val="left" w:pos="567"/>
          <w:tab w:val="left" w:pos="709"/>
        </w:tabs>
        <w:spacing w:after="0" w:line="240" w:lineRule="auto"/>
        <w:ind w:left="426" w:firstLine="141"/>
        <w:jc w:val="both"/>
        <w:rPr>
          <w:rFonts w:asciiTheme="majorHAnsi" w:hAnsiTheme="majorHAnsi" w:cstheme="majorHAnsi"/>
        </w:rPr>
      </w:pPr>
      <w:proofErr w:type="gramStart"/>
      <w:r w:rsidRPr="00CE17D7">
        <w:rPr>
          <w:rFonts w:asciiTheme="majorHAnsi" w:hAnsiTheme="majorHAnsi" w:cstheme="majorHAnsi"/>
        </w:rPr>
        <w:t>par</w:t>
      </w:r>
      <w:proofErr w:type="gramEnd"/>
      <w:r w:rsidRPr="00CE17D7">
        <w:rPr>
          <w:rFonts w:asciiTheme="majorHAnsi" w:hAnsiTheme="majorHAnsi" w:cstheme="majorHAnsi"/>
        </w:rPr>
        <w:t xml:space="preserve"> les </w:t>
      </w:r>
      <w:r w:rsidRPr="00CE17D7">
        <w:rPr>
          <w:rFonts w:asciiTheme="majorHAnsi" w:hAnsiTheme="majorHAnsi" w:cstheme="majorHAnsi"/>
          <w:u w:val="single"/>
        </w:rPr>
        <w:t>cadres de santé de secteur</w:t>
      </w:r>
      <w:r w:rsidRPr="00CE17D7">
        <w:rPr>
          <w:rFonts w:asciiTheme="majorHAnsi" w:hAnsiTheme="majorHAnsi" w:cstheme="majorHAnsi"/>
        </w:rPr>
        <w:t>, pour les transfusions réalisées au décours d’une prise en charge.</w:t>
      </w:r>
    </w:p>
    <w:p w:rsidR="00CE17D7" w:rsidRPr="00CE17D7" w:rsidRDefault="00CE17D7" w:rsidP="00CE17D7">
      <w:pPr>
        <w:tabs>
          <w:tab w:val="left" w:pos="567"/>
          <w:tab w:val="left" w:pos="709"/>
        </w:tabs>
        <w:spacing w:after="0" w:line="240" w:lineRule="auto"/>
        <w:ind w:left="426" w:firstLine="141"/>
        <w:jc w:val="both"/>
        <w:rPr>
          <w:rFonts w:asciiTheme="majorHAnsi" w:hAnsiTheme="majorHAnsi" w:cstheme="majorHAnsi"/>
        </w:rPr>
      </w:pPr>
    </w:p>
    <w:p w:rsidR="00CE17D7" w:rsidRPr="00CE17D7" w:rsidRDefault="00CE17D7" w:rsidP="00CE17D7">
      <w:pPr>
        <w:pStyle w:val="Paragraphedeliste"/>
        <w:numPr>
          <w:ilvl w:val="0"/>
          <w:numId w:val="34"/>
        </w:numPr>
        <w:spacing w:after="0" w:line="240" w:lineRule="auto"/>
        <w:ind w:left="426" w:hanging="284"/>
        <w:jc w:val="both"/>
        <w:rPr>
          <w:rFonts w:asciiTheme="majorHAnsi" w:hAnsiTheme="majorHAnsi" w:cstheme="majorHAnsi"/>
          <w:u w:val="single"/>
        </w:rPr>
      </w:pPr>
      <w:r w:rsidRPr="00CE17D7">
        <w:rPr>
          <w:rFonts w:asciiTheme="majorHAnsi" w:hAnsiTheme="majorHAnsi" w:cstheme="majorHAnsi"/>
        </w:rPr>
        <w:t xml:space="preserve">Les actes transfusionnels sont réalisés au domicile </w:t>
      </w:r>
      <w:r w:rsidRPr="00CE17D7">
        <w:rPr>
          <w:rFonts w:asciiTheme="majorHAnsi" w:hAnsiTheme="majorHAnsi" w:cstheme="majorHAnsi"/>
          <w:u w:val="single"/>
        </w:rPr>
        <w:t>en fin de matinée, début d’après-midi.</w:t>
      </w:r>
    </w:p>
    <w:p w:rsidR="00CE17D7" w:rsidRPr="00CE17D7" w:rsidRDefault="00CE17D7" w:rsidP="00CE17D7">
      <w:pPr>
        <w:spacing w:after="0" w:line="240" w:lineRule="auto"/>
        <w:jc w:val="both"/>
        <w:rPr>
          <w:rFonts w:asciiTheme="majorHAnsi" w:hAnsiTheme="majorHAnsi" w:cstheme="majorHAnsi"/>
        </w:rPr>
      </w:pPr>
    </w:p>
    <w:p w:rsidR="00CE17D7" w:rsidRPr="00CE17D7" w:rsidRDefault="00CE17D7" w:rsidP="00CE17D7">
      <w:pPr>
        <w:spacing w:after="0" w:line="240" w:lineRule="auto"/>
        <w:jc w:val="both"/>
        <w:rPr>
          <w:rFonts w:asciiTheme="majorHAnsi" w:hAnsiTheme="majorHAnsi" w:cstheme="majorHAnsi"/>
          <w:b/>
          <w:u w:val="single"/>
        </w:rPr>
      </w:pPr>
      <w:r w:rsidRPr="00CE17D7">
        <w:rPr>
          <w:rFonts w:asciiTheme="majorHAnsi" w:hAnsiTheme="majorHAnsi" w:cstheme="majorHAnsi"/>
          <w:b/>
          <w:u w:val="single"/>
        </w:rPr>
        <w:t>Qui / Comment ?</w:t>
      </w:r>
    </w:p>
    <w:p w:rsidR="00CE17D7" w:rsidRPr="00CE17D7" w:rsidRDefault="00CE17D7" w:rsidP="00CE17D7">
      <w:pPr>
        <w:spacing w:after="0" w:line="240" w:lineRule="auto"/>
        <w:jc w:val="both"/>
        <w:rPr>
          <w:rFonts w:asciiTheme="majorHAnsi" w:hAnsiTheme="majorHAnsi" w:cstheme="majorHAnsi"/>
        </w:rPr>
      </w:pPr>
    </w:p>
    <w:p w:rsidR="00CE17D7" w:rsidRPr="00CE17D7" w:rsidRDefault="00CE17D7" w:rsidP="00CE17D7">
      <w:pPr>
        <w:spacing w:line="216" w:lineRule="auto"/>
        <w:jc w:val="both"/>
        <w:rPr>
          <w:rFonts w:asciiTheme="majorHAnsi" w:hAnsiTheme="majorHAnsi" w:cstheme="majorHAnsi"/>
        </w:rPr>
      </w:pPr>
      <w:r w:rsidRPr="00CE17D7">
        <w:rPr>
          <w:rFonts w:asciiTheme="majorHAnsi" w:hAnsiTheme="majorHAnsi" w:cstheme="majorHAnsi"/>
          <w:u w:val="single"/>
        </w:rPr>
        <w:t xml:space="preserve">L’IDE </w:t>
      </w:r>
      <w:r w:rsidRPr="00CE17D7">
        <w:rPr>
          <w:rFonts w:asciiTheme="majorHAnsi" w:hAnsiTheme="majorHAnsi" w:cstheme="majorHAnsi"/>
        </w:rPr>
        <w:t>:</w:t>
      </w:r>
    </w:p>
    <w:p w:rsidR="00CE17D7" w:rsidRPr="00CE17D7" w:rsidRDefault="00CE17D7" w:rsidP="00CE17D7">
      <w:pPr>
        <w:pStyle w:val="Paragraphedeliste"/>
        <w:numPr>
          <w:ilvl w:val="0"/>
          <w:numId w:val="30"/>
        </w:numPr>
        <w:spacing w:after="0" w:line="216" w:lineRule="auto"/>
        <w:jc w:val="both"/>
        <w:rPr>
          <w:rFonts w:asciiTheme="majorHAnsi" w:hAnsiTheme="majorHAnsi" w:cstheme="majorHAnsi"/>
        </w:rPr>
      </w:pPr>
      <w:proofErr w:type="gramStart"/>
      <w:r w:rsidRPr="00CE17D7">
        <w:rPr>
          <w:rFonts w:asciiTheme="majorHAnsi" w:hAnsiTheme="majorHAnsi" w:cstheme="majorHAnsi"/>
        </w:rPr>
        <w:t>qui</w:t>
      </w:r>
      <w:proofErr w:type="gramEnd"/>
      <w:r w:rsidRPr="00CE17D7">
        <w:rPr>
          <w:rFonts w:asciiTheme="majorHAnsi" w:hAnsiTheme="majorHAnsi" w:cstheme="majorHAnsi"/>
        </w:rPr>
        <w:t xml:space="preserve"> fait l’acte transfusionnel n’est pas en astreinte de journée.</w:t>
      </w:r>
    </w:p>
    <w:p w:rsidR="00CE17D7" w:rsidRPr="00CE17D7" w:rsidRDefault="00CE17D7" w:rsidP="00CE17D7">
      <w:pPr>
        <w:pStyle w:val="Paragraphedeliste"/>
        <w:spacing w:line="216" w:lineRule="auto"/>
        <w:ind w:left="1440"/>
        <w:jc w:val="both"/>
        <w:rPr>
          <w:rFonts w:asciiTheme="majorHAnsi" w:hAnsiTheme="majorHAnsi" w:cstheme="majorHAnsi"/>
        </w:rPr>
      </w:pPr>
    </w:p>
    <w:p w:rsidR="00CE17D7" w:rsidRPr="00CE17D7" w:rsidRDefault="00CE17D7" w:rsidP="00CE17D7">
      <w:pPr>
        <w:pStyle w:val="Paragraphedeliste"/>
        <w:numPr>
          <w:ilvl w:val="0"/>
          <w:numId w:val="30"/>
        </w:numPr>
        <w:spacing w:after="0" w:line="216" w:lineRule="auto"/>
        <w:jc w:val="both"/>
        <w:rPr>
          <w:rFonts w:asciiTheme="majorHAnsi" w:hAnsiTheme="majorHAnsi" w:cstheme="majorHAnsi"/>
        </w:rPr>
      </w:pPr>
      <w:proofErr w:type="gramStart"/>
      <w:r w:rsidRPr="00CE17D7">
        <w:rPr>
          <w:rFonts w:asciiTheme="majorHAnsi" w:hAnsiTheme="majorHAnsi" w:cstheme="majorHAnsi"/>
        </w:rPr>
        <w:t>n’assure</w:t>
      </w:r>
      <w:proofErr w:type="gramEnd"/>
      <w:r w:rsidRPr="00CE17D7">
        <w:rPr>
          <w:rFonts w:asciiTheme="majorHAnsi" w:hAnsiTheme="majorHAnsi" w:cstheme="majorHAnsi"/>
        </w:rPr>
        <w:t xml:space="preserve"> pas le transport de PSL de l’EFS au domicile du patient. Une société prestataire assure cette fonction (Signat</w:t>
      </w:r>
      <w:r>
        <w:rPr>
          <w:rFonts w:asciiTheme="majorHAnsi" w:hAnsiTheme="majorHAnsi" w:cstheme="majorHAnsi"/>
        </w:rPr>
        <w:t>ure d’une convention avec l’HAD)</w:t>
      </w:r>
    </w:p>
    <w:p w:rsidR="00CE17D7" w:rsidRPr="00CE17D7" w:rsidRDefault="00CE17D7" w:rsidP="00CE17D7">
      <w:pPr>
        <w:pStyle w:val="Paragraphedeliste"/>
        <w:spacing w:line="216" w:lineRule="auto"/>
        <w:ind w:left="1440"/>
        <w:jc w:val="both"/>
        <w:rPr>
          <w:rFonts w:asciiTheme="majorHAnsi" w:hAnsiTheme="majorHAnsi" w:cstheme="majorHAnsi"/>
        </w:rPr>
      </w:pPr>
    </w:p>
    <w:p w:rsidR="00CE17D7" w:rsidRPr="00CE17D7" w:rsidRDefault="00CE17D7" w:rsidP="00CE17D7">
      <w:pPr>
        <w:pStyle w:val="Paragraphedeliste"/>
        <w:numPr>
          <w:ilvl w:val="0"/>
          <w:numId w:val="30"/>
        </w:numPr>
        <w:spacing w:after="0" w:line="216" w:lineRule="auto"/>
        <w:jc w:val="both"/>
        <w:rPr>
          <w:rFonts w:asciiTheme="majorHAnsi" w:hAnsiTheme="majorHAnsi" w:cstheme="majorHAnsi"/>
        </w:rPr>
      </w:pPr>
      <w:proofErr w:type="gramStart"/>
      <w:r w:rsidRPr="00CE17D7">
        <w:rPr>
          <w:rFonts w:asciiTheme="majorHAnsi" w:hAnsiTheme="majorHAnsi" w:cstheme="majorHAnsi"/>
        </w:rPr>
        <w:t>se</w:t>
      </w:r>
      <w:proofErr w:type="gramEnd"/>
      <w:r w:rsidRPr="00CE17D7">
        <w:rPr>
          <w:rFonts w:asciiTheme="majorHAnsi" w:hAnsiTheme="majorHAnsi" w:cstheme="majorHAnsi"/>
        </w:rPr>
        <w:t xml:space="preserve"> rends au domicile du patient avec une mallette retour de PSL et une trousse de transfusion sanguine (carte de CULM, perfuseur, tensiomètre). Thermomètre et </w:t>
      </w:r>
      <w:proofErr w:type="spellStart"/>
      <w:r w:rsidRPr="00CE17D7">
        <w:rPr>
          <w:rFonts w:asciiTheme="majorHAnsi" w:hAnsiTheme="majorHAnsi" w:cstheme="majorHAnsi"/>
        </w:rPr>
        <w:t>saturomètre</w:t>
      </w:r>
      <w:proofErr w:type="spellEnd"/>
      <w:r w:rsidRPr="00CE17D7">
        <w:rPr>
          <w:rFonts w:asciiTheme="majorHAnsi" w:hAnsiTheme="majorHAnsi" w:cstheme="majorHAnsi"/>
        </w:rPr>
        <w:t xml:space="preserve"> se trouvent dans les trousses IDE</w:t>
      </w:r>
    </w:p>
    <w:p w:rsidR="00CE17D7" w:rsidRPr="00CE17D7" w:rsidRDefault="00CE17D7" w:rsidP="00CE17D7">
      <w:pPr>
        <w:pStyle w:val="Paragraphedeliste"/>
        <w:spacing w:line="216" w:lineRule="auto"/>
        <w:ind w:left="1440"/>
        <w:jc w:val="both"/>
        <w:rPr>
          <w:rFonts w:asciiTheme="majorHAnsi" w:hAnsiTheme="majorHAnsi" w:cstheme="majorHAnsi"/>
        </w:rPr>
      </w:pPr>
    </w:p>
    <w:p w:rsidR="00CE17D7" w:rsidRPr="00CE17D7" w:rsidRDefault="00CE17D7" w:rsidP="00CE17D7">
      <w:pPr>
        <w:pStyle w:val="Paragraphedeliste"/>
        <w:numPr>
          <w:ilvl w:val="0"/>
          <w:numId w:val="30"/>
        </w:numPr>
        <w:spacing w:after="0" w:line="240" w:lineRule="auto"/>
        <w:jc w:val="both"/>
        <w:rPr>
          <w:rFonts w:asciiTheme="majorHAnsi" w:hAnsiTheme="majorHAnsi" w:cstheme="majorHAnsi"/>
          <w:strike/>
        </w:rPr>
      </w:pPr>
      <w:proofErr w:type="gramStart"/>
      <w:r w:rsidRPr="00CE17D7">
        <w:rPr>
          <w:rFonts w:asciiTheme="majorHAnsi" w:hAnsiTheme="majorHAnsi" w:cstheme="majorHAnsi"/>
        </w:rPr>
        <w:t>peut</w:t>
      </w:r>
      <w:proofErr w:type="gramEnd"/>
      <w:r w:rsidRPr="00CE17D7">
        <w:rPr>
          <w:rFonts w:asciiTheme="majorHAnsi" w:hAnsiTheme="majorHAnsi" w:cstheme="majorHAnsi"/>
        </w:rPr>
        <w:t xml:space="preserve"> être amené à ramener un PSL non utilisé ou entamé à l’EFS pour enquête EIR ou destruction. Les PSL retournés sont obligatoirement placés dans le coffre du véhicule pour le transport </w:t>
      </w:r>
    </w:p>
    <w:p w:rsidR="00CE17D7" w:rsidRPr="00CE17D7" w:rsidRDefault="00CE17D7" w:rsidP="00CE17D7">
      <w:pPr>
        <w:spacing w:after="0" w:line="240" w:lineRule="auto"/>
        <w:jc w:val="both"/>
        <w:rPr>
          <w:rFonts w:asciiTheme="majorHAnsi" w:hAnsiTheme="majorHAnsi" w:cstheme="majorHAnsi"/>
        </w:rPr>
      </w:pPr>
    </w:p>
    <w:p w:rsidR="00CE17D7" w:rsidRPr="00CE17D7" w:rsidRDefault="00CE17D7" w:rsidP="00CE17D7">
      <w:pPr>
        <w:pStyle w:val="Paragraphedeliste"/>
        <w:numPr>
          <w:ilvl w:val="0"/>
          <w:numId w:val="30"/>
        </w:numPr>
        <w:spacing w:after="0" w:line="240" w:lineRule="auto"/>
        <w:jc w:val="both"/>
        <w:rPr>
          <w:rFonts w:asciiTheme="majorHAnsi" w:hAnsiTheme="majorHAnsi" w:cstheme="majorHAnsi"/>
        </w:rPr>
      </w:pPr>
      <w:proofErr w:type="gramStart"/>
      <w:r w:rsidRPr="00CE17D7">
        <w:rPr>
          <w:rFonts w:asciiTheme="majorHAnsi" w:hAnsiTheme="majorHAnsi" w:cstheme="majorHAnsi"/>
        </w:rPr>
        <w:t>peut</w:t>
      </w:r>
      <w:proofErr w:type="gramEnd"/>
      <w:r w:rsidRPr="00CE17D7">
        <w:rPr>
          <w:rFonts w:asciiTheme="majorHAnsi" w:hAnsiTheme="majorHAnsi" w:cstheme="majorHAnsi"/>
        </w:rPr>
        <w:t xml:space="preserve"> sur prescription médicale être amené à revenir au domicile 2 heures après la transfusion en fonction de la fragilité des patients</w:t>
      </w:r>
    </w:p>
    <w:p w:rsidR="00CE17D7" w:rsidRPr="00CE17D7" w:rsidRDefault="00CE17D7" w:rsidP="00CE17D7">
      <w:pPr>
        <w:pStyle w:val="Paragraphedeliste"/>
        <w:rPr>
          <w:rFonts w:asciiTheme="majorHAnsi" w:hAnsiTheme="majorHAnsi" w:cstheme="majorHAnsi"/>
        </w:rPr>
      </w:pPr>
    </w:p>
    <w:p w:rsidR="00CE17D7" w:rsidRPr="006D0FDE" w:rsidRDefault="00CE17D7" w:rsidP="00A4642A">
      <w:pPr>
        <w:pStyle w:val="Paragraphedeliste"/>
        <w:numPr>
          <w:ilvl w:val="0"/>
          <w:numId w:val="30"/>
        </w:numPr>
        <w:spacing w:after="0" w:line="240" w:lineRule="auto"/>
        <w:jc w:val="both"/>
        <w:rPr>
          <w:rFonts w:asciiTheme="majorHAnsi" w:hAnsiTheme="majorHAnsi" w:cstheme="majorHAnsi"/>
        </w:rPr>
      </w:pPr>
      <w:proofErr w:type="gramStart"/>
      <w:r w:rsidRPr="006D0FDE">
        <w:rPr>
          <w:rFonts w:asciiTheme="majorHAnsi" w:hAnsiTheme="majorHAnsi" w:cstheme="majorHAnsi"/>
        </w:rPr>
        <w:t>en</w:t>
      </w:r>
      <w:proofErr w:type="gramEnd"/>
      <w:r w:rsidRPr="006D0FDE">
        <w:rPr>
          <w:rFonts w:asciiTheme="majorHAnsi" w:hAnsiTheme="majorHAnsi" w:cstheme="majorHAnsi"/>
        </w:rPr>
        <w:t xml:space="preserve"> cas d’AES : application du protocole </w:t>
      </w:r>
    </w:p>
    <w:p w:rsidR="00CE17D7" w:rsidRPr="00CE17D7" w:rsidRDefault="00CE17D7" w:rsidP="00CE17D7">
      <w:pPr>
        <w:pStyle w:val="Paragraphedeliste"/>
        <w:spacing w:line="216" w:lineRule="auto"/>
        <w:ind w:left="1440"/>
        <w:jc w:val="both"/>
        <w:rPr>
          <w:rFonts w:asciiTheme="majorHAnsi" w:hAnsiTheme="majorHAnsi" w:cstheme="majorHAnsi"/>
        </w:rPr>
      </w:pPr>
    </w:p>
    <w:p w:rsidR="00CE17D7" w:rsidRPr="00CE17D7" w:rsidRDefault="00CE17D7" w:rsidP="00CE17D7">
      <w:pPr>
        <w:spacing w:line="216" w:lineRule="auto"/>
        <w:jc w:val="both"/>
        <w:rPr>
          <w:rFonts w:asciiTheme="majorHAnsi" w:hAnsiTheme="majorHAnsi" w:cstheme="majorHAnsi"/>
          <w:b/>
        </w:rPr>
      </w:pPr>
      <w:r w:rsidRPr="00CE17D7">
        <w:rPr>
          <w:rFonts w:asciiTheme="majorHAnsi" w:hAnsiTheme="majorHAnsi" w:cstheme="majorHAnsi"/>
        </w:rPr>
        <w:t>Un contrôle de l’efficacité de l’acte transfusionnel est réalisé le lendemain par le laboratoire du patient avec la précision explicite sur la prescription : résultats à adresser à l’HAD.</w:t>
      </w:r>
      <w:r w:rsidRPr="00CE17D7">
        <w:rPr>
          <w:rFonts w:asciiTheme="majorHAnsi" w:hAnsiTheme="majorHAnsi" w:cstheme="majorHAnsi"/>
          <w:b/>
        </w:rPr>
        <w:t xml:space="preserve"> </w:t>
      </w:r>
    </w:p>
    <w:p w:rsidR="00CE17D7" w:rsidRPr="00CE17D7" w:rsidRDefault="00CE17D7" w:rsidP="00CE17D7">
      <w:pPr>
        <w:spacing w:line="216" w:lineRule="auto"/>
        <w:jc w:val="both"/>
        <w:rPr>
          <w:rFonts w:asciiTheme="majorHAnsi" w:hAnsiTheme="majorHAnsi" w:cstheme="majorHAnsi"/>
          <w:b/>
        </w:rPr>
      </w:pPr>
    </w:p>
    <w:p w:rsidR="00CE17D7" w:rsidRPr="00CE17D7" w:rsidRDefault="00CE17D7" w:rsidP="00CE17D7">
      <w:pPr>
        <w:spacing w:after="0" w:line="240" w:lineRule="auto"/>
        <w:jc w:val="both"/>
        <w:rPr>
          <w:rFonts w:asciiTheme="majorHAnsi" w:hAnsiTheme="majorHAnsi" w:cstheme="majorHAnsi"/>
          <w:b/>
          <w:u w:val="single"/>
        </w:rPr>
      </w:pPr>
      <w:r w:rsidRPr="00CE17D7">
        <w:rPr>
          <w:rFonts w:asciiTheme="majorHAnsi" w:hAnsiTheme="majorHAnsi" w:cstheme="majorHAnsi"/>
          <w:b/>
          <w:u w:val="single"/>
        </w:rPr>
        <w:t>Logistique /Dispositifs médicaux</w:t>
      </w:r>
    </w:p>
    <w:p w:rsidR="00CE17D7" w:rsidRPr="00CE17D7" w:rsidRDefault="00CE17D7" w:rsidP="00CE17D7">
      <w:pPr>
        <w:spacing w:after="0" w:line="240" w:lineRule="auto"/>
        <w:jc w:val="both"/>
        <w:rPr>
          <w:rFonts w:asciiTheme="majorHAnsi" w:hAnsiTheme="majorHAnsi" w:cstheme="majorHAnsi"/>
          <w:b/>
          <w:u w:val="single"/>
        </w:rPr>
      </w:pPr>
    </w:p>
    <w:p w:rsidR="00CE17D7" w:rsidRPr="00CE17D7" w:rsidRDefault="00CE17D7" w:rsidP="00CE17D7">
      <w:pPr>
        <w:pStyle w:val="Paragraphedeliste"/>
        <w:numPr>
          <w:ilvl w:val="0"/>
          <w:numId w:val="34"/>
        </w:numPr>
        <w:tabs>
          <w:tab w:val="left" w:pos="426"/>
        </w:tabs>
        <w:spacing w:after="0" w:line="240" w:lineRule="auto"/>
        <w:ind w:left="142" w:firstLine="0"/>
        <w:jc w:val="both"/>
        <w:rPr>
          <w:rFonts w:asciiTheme="majorHAnsi" w:hAnsiTheme="majorHAnsi" w:cstheme="majorHAnsi"/>
          <w:bCs/>
        </w:rPr>
      </w:pPr>
      <w:r w:rsidRPr="00CE17D7">
        <w:rPr>
          <w:rFonts w:asciiTheme="majorHAnsi" w:hAnsiTheme="majorHAnsi" w:cstheme="majorHAnsi"/>
          <w:u w:val="single"/>
        </w:rPr>
        <w:t>Panier patient</w:t>
      </w:r>
      <w:r w:rsidRPr="00CE17D7">
        <w:rPr>
          <w:rFonts w:asciiTheme="majorHAnsi" w:hAnsiTheme="majorHAnsi" w:cstheme="majorHAnsi"/>
          <w:bCs/>
        </w:rPr>
        <w:t xml:space="preserve"> fait par IDE de liaison pour le 1</w:t>
      </w:r>
      <w:r w:rsidRPr="00CE17D7">
        <w:rPr>
          <w:rFonts w:asciiTheme="majorHAnsi" w:hAnsiTheme="majorHAnsi" w:cstheme="majorHAnsi"/>
          <w:bCs/>
          <w:vertAlign w:val="superscript"/>
        </w:rPr>
        <w:t>er</w:t>
      </w:r>
      <w:r w:rsidRPr="00CE17D7">
        <w:rPr>
          <w:rFonts w:asciiTheme="majorHAnsi" w:hAnsiTheme="majorHAnsi" w:cstheme="majorHAnsi"/>
          <w:bCs/>
        </w:rPr>
        <w:t xml:space="preserve"> séjour ou première transfusion au décours d’un séjour. En suivi de PEC : panier fait par les cadres de santé. Composition du panier : gant stérile M, masque chirurgical standard, alèse 60x90, blouse non stérile, carton DASRI petit modèle, collecteur d’aiguille petit modèle, tablier plastique </w:t>
      </w:r>
      <w:proofErr w:type="gramStart"/>
      <w:r w:rsidRPr="00CE17D7">
        <w:rPr>
          <w:rFonts w:asciiTheme="majorHAnsi" w:hAnsiTheme="majorHAnsi" w:cstheme="majorHAnsi"/>
          <w:bCs/>
        </w:rPr>
        <w:t>jetable ,gant</w:t>
      </w:r>
      <w:proofErr w:type="gramEnd"/>
      <w:r w:rsidRPr="00CE17D7">
        <w:rPr>
          <w:rFonts w:asciiTheme="majorHAnsi" w:hAnsiTheme="majorHAnsi" w:cstheme="majorHAnsi"/>
          <w:bCs/>
        </w:rPr>
        <w:t xml:space="preserve"> non stérile taille 8 , un chlorure de sodium 0.9 % de 100 ml, Kit VVP (</w:t>
      </w:r>
      <w:proofErr w:type="spellStart"/>
      <w:r w:rsidRPr="00CE17D7">
        <w:rPr>
          <w:rFonts w:asciiTheme="majorHAnsi" w:hAnsiTheme="majorHAnsi" w:cstheme="majorHAnsi"/>
          <w:bCs/>
        </w:rPr>
        <w:t>cath</w:t>
      </w:r>
      <w:proofErr w:type="spellEnd"/>
      <w:r w:rsidRPr="00CE17D7">
        <w:rPr>
          <w:rFonts w:asciiTheme="majorHAnsi" w:hAnsiTheme="majorHAnsi" w:cstheme="majorHAnsi"/>
          <w:bCs/>
        </w:rPr>
        <w:t xml:space="preserve"> rose minimum), kit VVC (</w:t>
      </w:r>
      <w:proofErr w:type="spellStart"/>
      <w:r w:rsidRPr="00CE17D7">
        <w:rPr>
          <w:rFonts w:asciiTheme="majorHAnsi" w:hAnsiTheme="majorHAnsi" w:cstheme="majorHAnsi"/>
          <w:bCs/>
        </w:rPr>
        <w:t>Octopus</w:t>
      </w:r>
      <w:proofErr w:type="spellEnd"/>
      <w:r w:rsidRPr="00CE17D7">
        <w:rPr>
          <w:rFonts w:asciiTheme="majorHAnsi" w:hAnsiTheme="majorHAnsi" w:cstheme="majorHAnsi"/>
          <w:bCs/>
        </w:rPr>
        <w:t xml:space="preserve"> 2 voies) </w:t>
      </w:r>
    </w:p>
    <w:p w:rsidR="00CE17D7" w:rsidRPr="00CE17D7" w:rsidRDefault="00CE17D7" w:rsidP="00CE17D7">
      <w:pPr>
        <w:pStyle w:val="Paragraphedeliste"/>
        <w:tabs>
          <w:tab w:val="left" w:pos="426"/>
        </w:tabs>
        <w:ind w:left="142"/>
        <w:jc w:val="both"/>
        <w:rPr>
          <w:rFonts w:asciiTheme="majorHAnsi" w:hAnsiTheme="majorHAnsi" w:cstheme="majorHAnsi"/>
          <w:u w:val="single"/>
        </w:rPr>
      </w:pPr>
    </w:p>
    <w:p w:rsidR="00CE17D7" w:rsidRPr="00CE17D7" w:rsidRDefault="00CE17D7" w:rsidP="00CE17D7">
      <w:pPr>
        <w:pStyle w:val="Paragraphedeliste"/>
        <w:numPr>
          <w:ilvl w:val="0"/>
          <w:numId w:val="34"/>
        </w:numPr>
        <w:tabs>
          <w:tab w:val="left" w:pos="426"/>
        </w:tabs>
        <w:spacing w:after="0" w:line="240" w:lineRule="auto"/>
        <w:ind w:left="142" w:firstLine="0"/>
        <w:jc w:val="both"/>
        <w:rPr>
          <w:rFonts w:asciiTheme="majorHAnsi" w:hAnsiTheme="majorHAnsi" w:cstheme="majorHAnsi"/>
          <w:u w:val="single"/>
        </w:rPr>
      </w:pPr>
      <w:r w:rsidRPr="00CE17D7">
        <w:rPr>
          <w:rFonts w:asciiTheme="majorHAnsi" w:hAnsiTheme="majorHAnsi" w:cstheme="majorHAnsi"/>
          <w:u w:val="single"/>
        </w:rPr>
        <w:t>Trousses de transfusion sanguine</w:t>
      </w:r>
      <w:r w:rsidRPr="00CE17D7">
        <w:rPr>
          <w:rFonts w:asciiTheme="majorHAnsi" w:hAnsiTheme="majorHAnsi" w:cstheme="majorHAnsi"/>
        </w:rPr>
        <w:t> : 2 par secteurs</w:t>
      </w:r>
    </w:p>
    <w:p w:rsidR="00CE17D7" w:rsidRPr="00CE17D7" w:rsidRDefault="00CE17D7" w:rsidP="00CE17D7">
      <w:pPr>
        <w:pStyle w:val="Paragraphedeliste"/>
        <w:tabs>
          <w:tab w:val="left" w:pos="426"/>
        </w:tabs>
        <w:ind w:left="142"/>
        <w:jc w:val="both"/>
        <w:rPr>
          <w:rFonts w:asciiTheme="majorHAnsi" w:hAnsiTheme="majorHAnsi" w:cstheme="majorHAnsi"/>
          <w:u w:val="single"/>
        </w:rPr>
      </w:pPr>
    </w:p>
    <w:p w:rsidR="00CE17D7" w:rsidRPr="00CE17D7" w:rsidRDefault="00CE17D7" w:rsidP="00CE17D7">
      <w:pPr>
        <w:pStyle w:val="Paragraphedeliste"/>
        <w:numPr>
          <w:ilvl w:val="0"/>
          <w:numId w:val="34"/>
        </w:numPr>
        <w:tabs>
          <w:tab w:val="left" w:pos="426"/>
        </w:tabs>
        <w:spacing w:after="0" w:line="240" w:lineRule="auto"/>
        <w:ind w:left="142" w:firstLine="0"/>
        <w:jc w:val="both"/>
        <w:rPr>
          <w:rFonts w:asciiTheme="majorHAnsi" w:hAnsiTheme="majorHAnsi" w:cstheme="majorHAnsi"/>
          <w:u w:val="single"/>
        </w:rPr>
      </w:pPr>
      <w:r w:rsidRPr="00CE17D7">
        <w:rPr>
          <w:rFonts w:asciiTheme="majorHAnsi" w:hAnsiTheme="majorHAnsi" w:cstheme="majorHAnsi"/>
          <w:u w:val="single"/>
        </w:rPr>
        <w:t>Cartes de CULM</w:t>
      </w:r>
    </w:p>
    <w:p w:rsidR="00CE17D7" w:rsidRPr="00CE17D7" w:rsidRDefault="00CE17D7" w:rsidP="00CE17D7">
      <w:pPr>
        <w:tabs>
          <w:tab w:val="left" w:pos="426"/>
        </w:tabs>
        <w:spacing w:after="0" w:line="240" w:lineRule="auto"/>
        <w:jc w:val="both"/>
        <w:rPr>
          <w:rFonts w:asciiTheme="majorHAnsi" w:eastAsia="Times New Roman" w:hAnsiTheme="majorHAnsi" w:cstheme="majorHAnsi"/>
          <w:lang w:eastAsia="fr-FR"/>
        </w:rPr>
      </w:pPr>
    </w:p>
    <w:p w:rsidR="00CE17D7" w:rsidRPr="00CE17D7" w:rsidRDefault="00CE17D7" w:rsidP="00CE17D7">
      <w:pPr>
        <w:tabs>
          <w:tab w:val="left" w:pos="426"/>
        </w:tabs>
        <w:spacing w:after="0" w:line="240" w:lineRule="auto"/>
        <w:jc w:val="both"/>
        <w:rPr>
          <w:rFonts w:asciiTheme="majorHAnsi" w:hAnsiTheme="majorHAnsi" w:cstheme="majorHAnsi"/>
        </w:rPr>
      </w:pPr>
      <w:r w:rsidRPr="00CE17D7">
        <w:rPr>
          <w:rFonts w:asciiTheme="majorHAnsi" w:hAnsiTheme="majorHAnsi" w:cstheme="majorHAnsi"/>
        </w:rPr>
        <w:t xml:space="preserve">Un stock de cartes de CULM est à disposition au service logistique. </w:t>
      </w:r>
    </w:p>
    <w:p w:rsidR="00CE17D7" w:rsidRPr="00CE17D7" w:rsidRDefault="00CE17D7" w:rsidP="00CE17D7">
      <w:pPr>
        <w:tabs>
          <w:tab w:val="left" w:pos="426"/>
        </w:tabs>
        <w:spacing w:after="0" w:line="240" w:lineRule="auto"/>
        <w:jc w:val="both"/>
        <w:rPr>
          <w:rFonts w:asciiTheme="majorHAnsi" w:hAnsiTheme="majorHAnsi" w:cstheme="majorHAnsi"/>
        </w:rPr>
      </w:pPr>
      <w:r w:rsidRPr="00CE17D7">
        <w:rPr>
          <w:rFonts w:asciiTheme="majorHAnsi" w:hAnsiTheme="majorHAnsi" w:cstheme="majorHAnsi"/>
        </w:rPr>
        <w:t xml:space="preserve">Ce stock est sous la responsabilité du médecin </w:t>
      </w:r>
      <w:proofErr w:type="spellStart"/>
      <w:r w:rsidRPr="00CE17D7">
        <w:rPr>
          <w:rFonts w:asciiTheme="majorHAnsi" w:hAnsiTheme="majorHAnsi" w:cstheme="majorHAnsi"/>
        </w:rPr>
        <w:t>hémovigilant</w:t>
      </w:r>
      <w:proofErr w:type="spellEnd"/>
      <w:r w:rsidRPr="00CE17D7">
        <w:rPr>
          <w:rFonts w:asciiTheme="majorHAnsi" w:hAnsiTheme="majorHAnsi" w:cstheme="majorHAnsi"/>
        </w:rPr>
        <w:t xml:space="preserve"> (gestion des péremptions et des alertes descendantes) et permet de renouveler les cartes de CULM qui sont à disposition des IDE dans les trousses d’urgence.</w:t>
      </w:r>
    </w:p>
    <w:p w:rsidR="00CE17D7" w:rsidRPr="00CE17D7" w:rsidRDefault="00CE17D7" w:rsidP="00CE17D7">
      <w:pPr>
        <w:tabs>
          <w:tab w:val="left" w:pos="426"/>
        </w:tabs>
        <w:spacing w:after="0" w:line="240" w:lineRule="auto"/>
        <w:jc w:val="both"/>
        <w:rPr>
          <w:rFonts w:asciiTheme="majorHAnsi" w:hAnsiTheme="majorHAnsi" w:cstheme="majorHAnsi"/>
        </w:rPr>
      </w:pPr>
    </w:p>
    <w:p w:rsidR="00CE17D7" w:rsidRPr="00CE17D7" w:rsidRDefault="00CE17D7" w:rsidP="00CE17D7">
      <w:pPr>
        <w:pStyle w:val="Paragraphedeliste"/>
        <w:numPr>
          <w:ilvl w:val="0"/>
          <w:numId w:val="34"/>
        </w:numPr>
        <w:tabs>
          <w:tab w:val="left" w:pos="426"/>
        </w:tabs>
        <w:spacing w:after="0" w:line="240" w:lineRule="auto"/>
        <w:ind w:left="142" w:firstLine="0"/>
        <w:jc w:val="both"/>
        <w:rPr>
          <w:rFonts w:asciiTheme="majorHAnsi" w:hAnsiTheme="majorHAnsi" w:cstheme="majorHAnsi"/>
          <w:u w:val="single"/>
        </w:rPr>
      </w:pPr>
      <w:r w:rsidRPr="00CE17D7">
        <w:rPr>
          <w:rFonts w:asciiTheme="majorHAnsi" w:hAnsiTheme="majorHAnsi" w:cstheme="majorHAnsi"/>
          <w:u w:val="single"/>
        </w:rPr>
        <w:t>Perfuseurs</w:t>
      </w:r>
    </w:p>
    <w:p w:rsidR="00CE17D7" w:rsidRPr="00CE17D7" w:rsidRDefault="00CE17D7" w:rsidP="00CE17D7">
      <w:pPr>
        <w:spacing w:after="0" w:line="240" w:lineRule="auto"/>
        <w:jc w:val="both"/>
        <w:rPr>
          <w:rFonts w:asciiTheme="majorHAnsi" w:hAnsiTheme="majorHAnsi" w:cstheme="majorHAnsi"/>
        </w:rPr>
      </w:pPr>
      <w:r w:rsidRPr="00CE17D7">
        <w:rPr>
          <w:rFonts w:asciiTheme="majorHAnsi" w:hAnsiTheme="majorHAnsi" w:cstheme="majorHAnsi"/>
        </w:rPr>
        <w:t>Un stock de perfuseurs est à disposition au service logistique.</w:t>
      </w:r>
    </w:p>
    <w:p w:rsidR="00CE17D7" w:rsidRPr="00CE17D7" w:rsidRDefault="00CE17D7" w:rsidP="00CE17D7">
      <w:pPr>
        <w:spacing w:after="0" w:line="240" w:lineRule="auto"/>
        <w:jc w:val="both"/>
        <w:rPr>
          <w:rFonts w:asciiTheme="majorHAnsi" w:hAnsiTheme="majorHAnsi" w:cstheme="majorHAnsi"/>
        </w:rPr>
      </w:pPr>
    </w:p>
    <w:p w:rsidR="00CE17D7" w:rsidRPr="00CE17D7" w:rsidRDefault="00CE17D7" w:rsidP="00CE17D7">
      <w:pPr>
        <w:pStyle w:val="Paragraphedeliste"/>
        <w:numPr>
          <w:ilvl w:val="0"/>
          <w:numId w:val="34"/>
        </w:numPr>
        <w:tabs>
          <w:tab w:val="left" w:pos="426"/>
        </w:tabs>
        <w:spacing w:after="0" w:line="240" w:lineRule="auto"/>
        <w:ind w:left="142" w:firstLine="0"/>
        <w:jc w:val="both"/>
        <w:rPr>
          <w:rFonts w:asciiTheme="majorHAnsi" w:hAnsiTheme="majorHAnsi" w:cstheme="majorHAnsi"/>
          <w:u w:val="single"/>
        </w:rPr>
      </w:pPr>
      <w:r w:rsidRPr="00CE17D7">
        <w:rPr>
          <w:rFonts w:asciiTheme="majorHAnsi" w:hAnsiTheme="majorHAnsi" w:cstheme="majorHAnsi"/>
          <w:u w:val="single"/>
        </w:rPr>
        <w:t>Table adaptable Location auprès de la société prestataire par le service logistique</w:t>
      </w:r>
    </w:p>
    <w:p w:rsidR="00CE17D7" w:rsidRPr="00CE17D7" w:rsidRDefault="00CE17D7" w:rsidP="00CE17D7">
      <w:pPr>
        <w:pStyle w:val="Paragraphedeliste"/>
        <w:tabs>
          <w:tab w:val="left" w:pos="426"/>
        </w:tabs>
        <w:ind w:left="142"/>
        <w:jc w:val="both"/>
        <w:rPr>
          <w:rFonts w:asciiTheme="majorHAnsi" w:hAnsiTheme="majorHAnsi" w:cstheme="majorHAnsi"/>
          <w:u w:val="single"/>
        </w:rPr>
      </w:pPr>
    </w:p>
    <w:p w:rsidR="00CE17D7" w:rsidRPr="00CE17D7" w:rsidRDefault="00CE17D7" w:rsidP="00CE17D7">
      <w:pPr>
        <w:pStyle w:val="Paragraphedeliste"/>
        <w:numPr>
          <w:ilvl w:val="0"/>
          <w:numId w:val="34"/>
        </w:numPr>
        <w:tabs>
          <w:tab w:val="left" w:pos="426"/>
        </w:tabs>
        <w:spacing w:after="0" w:line="240" w:lineRule="auto"/>
        <w:ind w:left="142" w:firstLine="0"/>
        <w:jc w:val="both"/>
        <w:rPr>
          <w:rFonts w:asciiTheme="majorHAnsi" w:hAnsiTheme="majorHAnsi" w:cstheme="majorHAnsi"/>
          <w:u w:val="single"/>
        </w:rPr>
      </w:pPr>
      <w:r w:rsidRPr="00CE17D7">
        <w:rPr>
          <w:rFonts w:asciiTheme="majorHAnsi" w:hAnsiTheme="majorHAnsi" w:cstheme="majorHAnsi"/>
          <w:u w:val="single"/>
        </w:rPr>
        <w:t>Pied à perfusion</w:t>
      </w:r>
    </w:p>
    <w:p w:rsidR="00CE17D7" w:rsidRPr="00CE17D7" w:rsidRDefault="00CE17D7" w:rsidP="00CE17D7">
      <w:pPr>
        <w:tabs>
          <w:tab w:val="left" w:pos="426"/>
        </w:tabs>
        <w:jc w:val="both"/>
        <w:rPr>
          <w:rFonts w:asciiTheme="majorHAnsi" w:hAnsiTheme="majorHAnsi" w:cstheme="majorHAnsi"/>
        </w:rPr>
      </w:pPr>
      <w:r w:rsidRPr="00CE17D7">
        <w:rPr>
          <w:rFonts w:asciiTheme="majorHAnsi" w:hAnsiTheme="majorHAnsi" w:cstheme="majorHAnsi"/>
        </w:rPr>
        <w:t>Location auprès de la société prestataire par le service logistique</w:t>
      </w:r>
    </w:p>
    <w:p w:rsidR="00CE17D7" w:rsidRPr="00CE17D7" w:rsidRDefault="00CE17D7" w:rsidP="00CE17D7">
      <w:pPr>
        <w:pStyle w:val="Paragraphedeliste"/>
        <w:tabs>
          <w:tab w:val="left" w:pos="426"/>
        </w:tabs>
        <w:ind w:left="142"/>
        <w:jc w:val="both"/>
        <w:rPr>
          <w:rFonts w:asciiTheme="majorHAnsi" w:hAnsiTheme="majorHAnsi" w:cstheme="majorHAnsi"/>
          <w:highlight w:val="yellow"/>
          <w:u w:val="single"/>
        </w:rPr>
      </w:pPr>
      <w:r w:rsidRPr="00CE17D7">
        <w:rPr>
          <w:rFonts w:asciiTheme="majorHAnsi" w:hAnsiTheme="majorHAnsi" w:cstheme="majorHAnsi"/>
          <w:noProof/>
          <w:lang w:eastAsia="fr-FR"/>
        </w:rPr>
        <mc:AlternateContent>
          <mc:Choice Requires="wps">
            <w:drawing>
              <wp:anchor distT="45720" distB="45720" distL="114300" distR="114300" simplePos="0" relativeHeight="251679744" behindDoc="0" locked="0" layoutInCell="1" allowOverlap="1" wp14:anchorId="40A900AA" wp14:editId="2E8B4A15">
                <wp:simplePos x="0" y="0"/>
                <wp:positionH relativeFrom="column">
                  <wp:posOffset>-92990</wp:posOffset>
                </wp:positionH>
                <wp:positionV relativeFrom="paragraph">
                  <wp:posOffset>157039</wp:posOffset>
                </wp:positionV>
                <wp:extent cx="5916295" cy="346710"/>
                <wp:effectExtent l="0" t="0" r="27305" b="1524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46710"/>
                        </a:xfrm>
                        <a:prstGeom prst="rect">
                          <a:avLst/>
                        </a:prstGeom>
                        <a:solidFill>
                          <a:srgbClr val="FFFFFF"/>
                        </a:solidFill>
                        <a:ln w="9525">
                          <a:solidFill>
                            <a:srgbClr val="000000"/>
                          </a:solidFill>
                          <a:miter lim="800000"/>
                          <a:headEnd/>
                          <a:tailEnd/>
                        </a:ln>
                      </wps:spPr>
                      <wps:txbx>
                        <w:txbxContent>
                          <w:p w:rsidR="00CE17D7" w:rsidRPr="00CE17D7" w:rsidRDefault="00CE17D7" w:rsidP="00CE17D7">
                            <w:pPr>
                              <w:jc w:val="center"/>
                              <w:rPr>
                                <w:rFonts w:asciiTheme="majorHAnsi" w:hAnsiTheme="majorHAnsi" w:cstheme="majorHAnsi"/>
                                <w:b/>
                                <w:sz w:val="24"/>
                                <w:szCs w:val="24"/>
                              </w:rPr>
                            </w:pPr>
                            <w:r w:rsidRPr="00CE17D7">
                              <w:rPr>
                                <w:rFonts w:asciiTheme="majorHAnsi" w:hAnsiTheme="majorHAnsi" w:cstheme="majorHAnsi"/>
                                <w:b/>
                                <w:sz w:val="24"/>
                                <w:szCs w:val="24"/>
                              </w:rPr>
                              <w:t>GESTION DU RISQUE INFECTIEUX / DASRI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900AA" id="Zone de texte 12" o:spid="_x0000_s1035" type="#_x0000_t202" style="position:absolute;left:0;text-align:left;margin-left:-7.3pt;margin-top:12.35pt;width:465.85pt;height:27.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">
                <v:textbox>
                  <w:txbxContent>
                    <w:p w:rsidR="00CE17D7" w:rsidRPr="00CE17D7" w:rsidRDefault="00CE17D7" w:rsidP="00CE17D7">
                      <w:pPr>
                        <w:jc w:val="center"/>
                        <w:rPr>
                          <w:rFonts w:asciiTheme="majorHAnsi" w:hAnsiTheme="majorHAnsi" w:cstheme="majorHAnsi"/>
                          <w:b/>
                          <w:sz w:val="24"/>
                          <w:szCs w:val="24"/>
                        </w:rPr>
                      </w:pPr>
                      <w:r w:rsidRPr="00CE17D7">
                        <w:rPr>
                          <w:rFonts w:asciiTheme="majorHAnsi" w:hAnsiTheme="majorHAnsi" w:cstheme="majorHAnsi"/>
                          <w:b/>
                          <w:sz w:val="24"/>
                          <w:szCs w:val="24"/>
                        </w:rPr>
                        <w:t>GESTION DU RISQUE INFECTIEUX / DASRI</w:t>
                      </w:r>
                    </w:p>
                  </w:txbxContent>
                </v:textbox>
                <w10:wrap type="square"/>
              </v:shape>
            </w:pict>
          </mc:Fallback>
        </mc:AlternateContent>
      </w:r>
    </w:p>
    <w:p w:rsidR="00CE17D7" w:rsidRPr="00CE17D7" w:rsidRDefault="00CE17D7" w:rsidP="00CE17D7">
      <w:pPr>
        <w:pStyle w:val="Paragraphedeliste"/>
        <w:numPr>
          <w:ilvl w:val="0"/>
          <w:numId w:val="34"/>
        </w:numPr>
        <w:spacing w:after="0" w:line="240" w:lineRule="auto"/>
        <w:jc w:val="both"/>
        <w:rPr>
          <w:rFonts w:asciiTheme="majorHAnsi" w:hAnsiTheme="majorHAnsi" w:cstheme="majorHAnsi"/>
        </w:rPr>
      </w:pPr>
      <w:r w:rsidRPr="00CE17D7">
        <w:rPr>
          <w:rFonts w:asciiTheme="majorHAnsi" w:hAnsiTheme="majorHAnsi" w:cstheme="majorHAnsi"/>
          <w:u w:val="single"/>
        </w:rPr>
        <w:t>Tenue de l’IDE réalisant un acte transfusionnel </w:t>
      </w:r>
    </w:p>
    <w:p w:rsidR="00CE17D7" w:rsidRPr="00CE17D7" w:rsidRDefault="00CE17D7" w:rsidP="00CE17D7">
      <w:pPr>
        <w:pStyle w:val="Paragraphedeliste"/>
        <w:jc w:val="both"/>
        <w:rPr>
          <w:rFonts w:asciiTheme="majorHAnsi" w:hAnsiTheme="majorHAnsi" w:cstheme="majorHAnsi"/>
        </w:rPr>
      </w:pPr>
    </w:p>
    <w:p w:rsidR="00CE17D7" w:rsidRPr="00CE17D7" w:rsidRDefault="00CE17D7" w:rsidP="00CE17D7">
      <w:pPr>
        <w:spacing w:after="0" w:line="240" w:lineRule="auto"/>
        <w:jc w:val="both"/>
        <w:rPr>
          <w:rFonts w:asciiTheme="majorHAnsi" w:hAnsiTheme="majorHAnsi" w:cstheme="majorHAnsi"/>
        </w:rPr>
      </w:pPr>
      <w:r w:rsidRPr="00CE17D7">
        <w:rPr>
          <w:rFonts w:asciiTheme="majorHAnsi" w:hAnsiTheme="majorHAnsi" w:cstheme="majorHAnsi"/>
        </w:rPr>
        <w:t>Gants, tablier imperméable, blouse, masque au branchement et au débranchement du PSL.</w:t>
      </w:r>
    </w:p>
    <w:p w:rsidR="00CE17D7" w:rsidRPr="00CE17D7" w:rsidRDefault="00CE17D7" w:rsidP="00CE17D7">
      <w:pPr>
        <w:pStyle w:val="Paragraphedeliste"/>
        <w:ind w:left="2160"/>
        <w:jc w:val="both"/>
        <w:rPr>
          <w:rFonts w:asciiTheme="majorHAnsi" w:hAnsiTheme="majorHAnsi" w:cstheme="majorHAnsi"/>
        </w:rPr>
      </w:pPr>
    </w:p>
    <w:p w:rsidR="00CE17D7" w:rsidRPr="00CE17D7" w:rsidRDefault="00CE17D7" w:rsidP="00CE17D7">
      <w:pPr>
        <w:pStyle w:val="Paragraphedeliste"/>
        <w:numPr>
          <w:ilvl w:val="0"/>
          <w:numId w:val="34"/>
        </w:numPr>
        <w:spacing w:after="0" w:line="240" w:lineRule="auto"/>
        <w:jc w:val="both"/>
        <w:rPr>
          <w:rFonts w:asciiTheme="majorHAnsi" w:hAnsiTheme="majorHAnsi" w:cstheme="majorHAnsi"/>
        </w:rPr>
      </w:pPr>
      <w:r w:rsidRPr="00CE17D7">
        <w:rPr>
          <w:rFonts w:asciiTheme="majorHAnsi" w:hAnsiTheme="majorHAnsi" w:cstheme="majorHAnsi"/>
          <w:u w:val="single"/>
        </w:rPr>
        <w:t>Environnement du PSL</w:t>
      </w:r>
      <w:r w:rsidRPr="00CE17D7">
        <w:rPr>
          <w:rFonts w:asciiTheme="majorHAnsi" w:hAnsiTheme="majorHAnsi" w:cstheme="majorHAnsi"/>
        </w:rPr>
        <w:t> :</w:t>
      </w:r>
    </w:p>
    <w:p w:rsidR="00CE17D7" w:rsidRPr="00CE17D7" w:rsidRDefault="00CE17D7" w:rsidP="00CE17D7">
      <w:pPr>
        <w:pStyle w:val="Paragraphedeliste"/>
        <w:jc w:val="both"/>
        <w:rPr>
          <w:rFonts w:asciiTheme="majorHAnsi" w:hAnsiTheme="majorHAnsi" w:cstheme="majorHAnsi"/>
        </w:rPr>
      </w:pPr>
    </w:p>
    <w:p w:rsidR="00CE17D7" w:rsidRPr="00CE17D7" w:rsidRDefault="00CE17D7" w:rsidP="00CE17D7">
      <w:pPr>
        <w:spacing w:after="0" w:line="240" w:lineRule="auto"/>
        <w:jc w:val="both"/>
        <w:rPr>
          <w:rFonts w:asciiTheme="majorHAnsi" w:hAnsiTheme="majorHAnsi" w:cstheme="majorHAnsi"/>
        </w:rPr>
      </w:pPr>
      <w:r w:rsidRPr="00CE17D7">
        <w:rPr>
          <w:rFonts w:asciiTheme="majorHAnsi" w:hAnsiTheme="majorHAnsi" w:cstheme="majorHAnsi"/>
        </w:rPr>
        <w:t>Produit nettoyant/désinfectant à mettre sur un essuie tout puis nettoyer la surface ou sera déposée : la poche, le matériel nécessaire pour la réalisation de l’acte, la boite de DASRI peut être posée sur la table.</w:t>
      </w:r>
    </w:p>
    <w:p w:rsidR="00CE17D7" w:rsidRPr="00CE17D7" w:rsidRDefault="00CE17D7" w:rsidP="00CE17D7">
      <w:pPr>
        <w:pStyle w:val="Paragraphedeliste"/>
        <w:ind w:left="993"/>
        <w:jc w:val="both"/>
        <w:rPr>
          <w:rFonts w:asciiTheme="majorHAnsi" w:hAnsiTheme="majorHAnsi" w:cstheme="majorHAnsi"/>
        </w:rPr>
      </w:pPr>
    </w:p>
    <w:p w:rsidR="00CE17D7" w:rsidRPr="00CE17D7" w:rsidRDefault="00CE17D7" w:rsidP="00CE17D7">
      <w:pPr>
        <w:spacing w:after="0" w:line="240" w:lineRule="auto"/>
        <w:jc w:val="both"/>
        <w:rPr>
          <w:rFonts w:asciiTheme="majorHAnsi" w:hAnsiTheme="majorHAnsi" w:cstheme="majorHAnsi"/>
        </w:rPr>
      </w:pPr>
      <w:r w:rsidRPr="00CE17D7">
        <w:rPr>
          <w:rFonts w:asciiTheme="majorHAnsi" w:hAnsiTheme="majorHAnsi" w:cstheme="majorHAnsi"/>
        </w:rPr>
        <w:t>Hygiène des mains conforme aux bonnes pratiques (Cf. Protocoles du CLIN)</w:t>
      </w:r>
    </w:p>
    <w:p w:rsidR="00CE17D7" w:rsidRPr="00CE17D7" w:rsidRDefault="00CE17D7" w:rsidP="00CE17D7">
      <w:pPr>
        <w:pStyle w:val="Paragraphedeliste"/>
        <w:jc w:val="both"/>
        <w:rPr>
          <w:rFonts w:asciiTheme="majorHAnsi" w:hAnsiTheme="majorHAnsi" w:cstheme="majorHAnsi"/>
        </w:rPr>
      </w:pPr>
    </w:p>
    <w:p w:rsidR="00CE17D7" w:rsidRPr="00CE17D7" w:rsidRDefault="00CE17D7" w:rsidP="00CE17D7">
      <w:pPr>
        <w:spacing w:after="0" w:line="240" w:lineRule="auto"/>
        <w:jc w:val="both"/>
        <w:rPr>
          <w:rFonts w:asciiTheme="majorHAnsi" w:hAnsiTheme="majorHAnsi" w:cstheme="majorHAnsi"/>
        </w:rPr>
      </w:pPr>
      <w:r w:rsidRPr="00CE17D7">
        <w:rPr>
          <w:rFonts w:asciiTheme="majorHAnsi" w:hAnsiTheme="majorHAnsi" w:cstheme="majorHAnsi"/>
        </w:rPr>
        <w:t>Les prélèvements suite à un AES sont à adresser au laboratoire du patient ou au laboratoire</w:t>
      </w:r>
      <w:r w:rsidR="00D356F2">
        <w:rPr>
          <w:rFonts w:asciiTheme="majorHAnsi" w:hAnsiTheme="majorHAnsi" w:cstheme="majorHAnsi"/>
        </w:rPr>
        <w:t> :</w:t>
      </w:r>
    </w:p>
    <w:p w:rsidR="00CE17D7" w:rsidRPr="00CE17D7" w:rsidRDefault="00CE17D7" w:rsidP="00CE17D7">
      <w:pPr>
        <w:spacing w:after="0" w:line="240" w:lineRule="auto"/>
        <w:rPr>
          <w:rFonts w:asciiTheme="majorHAnsi" w:hAnsiTheme="majorHAnsi" w:cstheme="majorHAnsi"/>
        </w:rPr>
      </w:pPr>
      <w:r w:rsidRPr="00CE17D7">
        <w:rPr>
          <w:rFonts w:asciiTheme="majorHAnsi" w:hAnsiTheme="majorHAnsi" w:cstheme="majorHAnsi"/>
        </w:rPr>
        <w:t>En fin de réalisation de l’acte :</w:t>
      </w:r>
    </w:p>
    <w:p w:rsidR="00CE17D7" w:rsidRPr="00CE17D7" w:rsidRDefault="00CE17D7" w:rsidP="00CE17D7">
      <w:pPr>
        <w:pStyle w:val="Paragraphedeliste"/>
        <w:jc w:val="both"/>
        <w:rPr>
          <w:rFonts w:asciiTheme="majorHAnsi" w:hAnsiTheme="majorHAnsi" w:cstheme="majorHAnsi"/>
        </w:rPr>
      </w:pPr>
    </w:p>
    <w:p w:rsidR="00CE17D7" w:rsidRPr="00CE17D7" w:rsidRDefault="00CE17D7" w:rsidP="00CE17D7">
      <w:pPr>
        <w:pStyle w:val="Paragraphedeliste"/>
        <w:numPr>
          <w:ilvl w:val="2"/>
          <w:numId w:val="25"/>
        </w:numPr>
        <w:tabs>
          <w:tab w:val="clear" w:pos="2160"/>
          <w:tab w:val="num" w:pos="993"/>
        </w:tabs>
        <w:spacing w:after="0" w:line="240" w:lineRule="auto"/>
        <w:ind w:left="993" w:hanging="284"/>
        <w:jc w:val="both"/>
        <w:rPr>
          <w:rFonts w:asciiTheme="majorHAnsi" w:hAnsiTheme="majorHAnsi" w:cstheme="majorHAnsi"/>
        </w:rPr>
      </w:pPr>
      <w:proofErr w:type="gramStart"/>
      <w:r w:rsidRPr="00CE17D7">
        <w:rPr>
          <w:rFonts w:asciiTheme="majorHAnsi" w:hAnsiTheme="majorHAnsi" w:cstheme="majorHAnsi"/>
        </w:rPr>
        <w:t>le</w:t>
      </w:r>
      <w:proofErr w:type="gramEnd"/>
      <w:r w:rsidRPr="00CE17D7">
        <w:rPr>
          <w:rFonts w:asciiTheme="majorHAnsi" w:hAnsiTheme="majorHAnsi" w:cstheme="majorHAnsi"/>
        </w:rPr>
        <w:t xml:space="preserve"> PSL terminé est systématiquement entreposé au domicile dans la mallette rigide.</w:t>
      </w:r>
    </w:p>
    <w:p w:rsidR="00CE17D7" w:rsidRPr="00CE17D7" w:rsidRDefault="00CE17D7" w:rsidP="00CE17D7">
      <w:pPr>
        <w:pStyle w:val="Paragraphedeliste"/>
        <w:ind w:left="993"/>
        <w:jc w:val="both"/>
        <w:rPr>
          <w:rFonts w:asciiTheme="majorHAnsi" w:hAnsiTheme="majorHAnsi" w:cstheme="majorHAnsi"/>
          <w:highlight w:val="yellow"/>
        </w:rPr>
      </w:pPr>
    </w:p>
    <w:p w:rsidR="00CE17D7" w:rsidRPr="00CE17D7" w:rsidRDefault="00CE17D7" w:rsidP="00CE17D7">
      <w:pPr>
        <w:pStyle w:val="Paragraphedeliste"/>
        <w:numPr>
          <w:ilvl w:val="2"/>
          <w:numId w:val="25"/>
        </w:numPr>
        <w:tabs>
          <w:tab w:val="clear" w:pos="2160"/>
          <w:tab w:val="num" w:pos="993"/>
        </w:tabs>
        <w:spacing w:after="0" w:line="240" w:lineRule="auto"/>
        <w:ind w:left="993" w:hanging="284"/>
        <w:jc w:val="both"/>
        <w:rPr>
          <w:rFonts w:asciiTheme="majorHAnsi" w:hAnsiTheme="majorHAnsi" w:cstheme="majorHAnsi"/>
        </w:rPr>
      </w:pPr>
      <w:r w:rsidRPr="00CE17D7">
        <w:rPr>
          <w:rFonts w:asciiTheme="majorHAnsi" w:hAnsiTheme="majorHAnsi" w:cstheme="majorHAnsi"/>
        </w:rPr>
        <w:t>Si tout est OK on met le PSL dans les DASRI et la mallette est ramenée sur site pour décontamination.</w:t>
      </w:r>
    </w:p>
    <w:p w:rsidR="00CE17D7" w:rsidRPr="00CE17D7" w:rsidRDefault="00CE17D7" w:rsidP="00CE17D7">
      <w:pPr>
        <w:pStyle w:val="Paragraphedeliste"/>
        <w:numPr>
          <w:ilvl w:val="2"/>
          <w:numId w:val="25"/>
        </w:numPr>
        <w:tabs>
          <w:tab w:val="clear" w:pos="2160"/>
          <w:tab w:val="num" w:pos="993"/>
        </w:tabs>
        <w:spacing w:after="0" w:line="240" w:lineRule="auto"/>
        <w:ind w:left="993" w:hanging="284"/>
        <w:jc w:val="both"/>
        <w:rPr>
          <w:rFonts w:asciiTheme="majorHAnsi" w:hAnsiTheme="majorHAnsi" w:cstheme="majorHAnsi"/>
        </w:rPr>
      </w:pPr>
      <w:r w:rsidRPr="00CE17D7">
        <w:rPr>
          <w:rFonts w:asciiTheme="majorHAnsi" w:hAnsiTheme="majorHAnsi" w:cstheme="majorHAnsi"/>
        </w:rPr>
        <w:t xml:space="preserve">Si EIR, le PSL est ramené à l’EFS dès que possible pour bactériologie de la poche. </w:t>
      </w:r>
    </w:p>
    <w:p w:rsidR="00CE17D7" w:rsidRPr="00CE17D7" w:rsidRDefault="00CE17D7" w:rsidP="00CE17D7">
      <w:pPr>
        <w:pStyle w:val="Paragraphedeliste"/>
        <w:ind w:left="993"/>
        <w:jc w:val="both"/>
        <w:rPr>
          <w:rFonts w:asciiTheme="majorHAnsi" w:hAnsiTheme="majorHAnsi" w:cstheme="majorHAnsi"/>
        </w:rPr>
      </w:pPr>
    </w:p>
    <w:p w:rsidR="00CE17D7" w:rsidRPr="00CE17D7" w:rsidRDefault="00CE17D7" w:rsidP="00CE17D7">
      <w:pPr>
        <w:pStyle w:val="Paragraphedeliste"/>
        <w:numPr>
          <w:ilvl w:val="2"/>
          <w:numId w:val="25"/>
        </w:numPr>
        <w:tabs>
          <w:tab w:val="clear" w:pos="2160"/>
          <w:tab w:val="num" w:pos="993"/>
        </w:tabs>
        <w:spacing w:after="0" w:line="240" w:lineRule="auto"/>
        <w:ind w:left="993" w:hanging="284"/>
        <w:jc w:val="both"/>
        <w:rPr>
          <w:rFonts w:asciiTheme="majorHAnsi" w:hAnsiTheme="majorHAnsi" w:cstheme="majorHAnsi"/>
          <w:bCs/>
        </w:rPr>
      </w:pPr>
      <w:r w:rsidRPr="00CE17D7">
        <w:rPr>
          <w:rFonts w:asciiTheme="majorHAnsi" w:hAnsiTheme="majorHAnsi" w:cstheme="majorHAnsi"/>
        </w:rPr>
        <w:t>PSL non consommé (décès du patient, …)</w:t>
      </w:r>
      <w:r w:rsidRPr="00CE17D7">
        <w:rPr>
          <w:rFonts w:asciiTheme="majorHAnsi" w:hAnsiTheme="majorHAnsi" w:cstheme="majorHAnsi"/>
          <w:bCs/>
        </w:rPr>
        <w:t> : traçabilité sur la FDN et poche mise dans les DASRI.</w:t>
      </w:r>
    </w:p>
    <w:p w:rsidR="00CE17D7" w:rsidRPr="00CE17D7" w:rsidRDefault="00CE17D7" w:rsidP="00CE17D7">
      <w:pPr>
        <w:pStyle w:val="Paragraphedeliste"/>
        <w:ind w:left="2160"/>
        <w:jc w:val="both"/>
        <w:rPr>
          <w:rFonts w:asciiTheme="majorHAnsi" w:hAnsiTheme="majorHAnsi" w:cstheme="majorHAnsi"/>
          <w:bCs/>
        </w:rPr>
      </w:pPr>
    </w:p>
    <w:p w:rsidR="00CE17D7" w:rsidRPr="00CE17D7" w:rsidRDefault="00CE17D7" w:rsidP="00CE17D7">
      <w:pPr>
        <w:pStyle w:val="Paragraphedeliste"/>
        <w:numPr>
          <w:ilvl w:val="2"/>
          <w:numId w:val="25"/>
        </w:numPr>
        <w:tabs>
          <w:tab w:val="clear" w:pos="2160"/>
          <w:tab w:val="num" w:pos="993"/>
        </w:tabs>
        <w:spacing w:after="0" w:line="240" w:lineRule="auto"/>
        <w:ind w:left="993" w:hanging="284"/>
        <w:jc w:val="both"/>
        <w:rPr>
          <w:rFonts w:asciiTheme="majorHAnsi" w:hAnsiTheme="majorHAnsi" w:cstheme="majorHAnsi"/>
        </w:rPr>
      </w:pPr>
      <w:r w:rsidRPr="00CE17D7">
        <w:rPr>
          <w:rFonts w:asciiTheme="majorHAnsi" w:hAnsiTheme="majorHAnsi" w:cstheme="majorHAnsi"/>
        </w:rPr>
        <w:t>EIR pour transport du PSL pour analyse</w:t>
      </w:r>
    </w:p>
    <w:p w:rsidR="00CE17D7" w:rsidRPr="00CE17D7" w:rsidRDefault="00CE17D7" w:rsidP="00CE17D7">
      <w:pPr>
        <w:jc w:val="both"/>
        <w:rPr>
          <w:rFonts w:asciiTheme="majorHAnsi" w:hAnsiTheme="majorHAnsi" w:cstheme="majorHAnsi"/>
        </w:rPr>
      </w:pPr>
    </w:p>
    <w:p w:rsidR="00CE17D7" w:rsidRPr="00CE17D7" w:rsidRDefault="00CE17D7" w:rsidP="00CE17D7">
      <w:pPr>
        <w:spacing w:after="0" w:line="240" w:lineRule="auto"/>
        <w:jc w:val="both"/>
        <w:rPr>
          <w:rFonts w:asciiTheme="majorHAnsi" w:hAnsiTheme="majorHAnsi" w:cstheme="majorHAnsi"/>
          <w:b/>
        </w:rPr>
      </w:pPr>
      <w:r w:rsidRPr="00CE17D7">
        <w:rPr>
          <w:rFonts w:asciiTheme="majorHAnsi" w:hAnsiTheme="majorHAnsi" w:cstheme="majorHAnsi"/>
        </w:rPr>
        <w:t xml:space="preserve">Il est a noté qu’à chaque transfusion </w:t>
      </w:r>
      <w:r w:rsidRPr="00CE17D7">
        <w:rPr>
          <w:rFonts w:asciiTheme="majorHAnsi" w:hAnsiTheme="majorHAnsi" w:cstheme="majorHAnsi"/>
          <w:b/>
        </w:rPr>
        <w:t>la mallette va servir soit pour un stockage temporaire du PSL au domicile patient</w:t>
      </w:r>
      <w:r w:rsidRPr="00CE17D7">
        <w:rPr>
          <w:rFonts w:asciiTheme="majorHAnsi" w:hAnsiTheme="majorHAnsi" w:cstheme="majorHAnsi"/>
        </w:rPr>
        <w:t xml:space="preserve">, </w:t>
      </w:r>
      <w:r w:rsidRPr="00CE17D7">
        <w:rPr>
          <w:rFonts w:asciiTheme="majorHAnsi" w:hAnsiTheme="majorHAnsi" w:cstheme="majorHAnsi"/>
          <w:b/>
        </w:rPr>
        <w:t xml:space="preserve">soit pour un retour du PSL. </w:t>
      </w:r>
    </w:p>
    <w:p w:rsidR="00CE17D7" w:rsidRPr="00CE17D7" w:rsidRDefault="00CE17D7" w:rsidP="00CE17D7">
      <w:pPr>
        <w:spacing w:after="0" w:line="240" w:lineRule="auto"/>
        <w:jc w:val="both"/>
        <w:rPr>
          <w:rFonts w:asciiTheme="majorHAnsi" w:hAnsiTheme="majorHAnsi" w:cstheme="majorHAnsi"/>
        </w:rPr>
      </w:pPr>
      <w:r w:rsidRPr="00CE17D7">
        <w:rPr>
          <w:rFonts w:asciiTheme="majorHAnsi" w:hAnsiTheme="majorHAnsi" w:cstheme="majorHAnsi"/>
        </w:rPr>
        <w:t xml:space="preserve">Ce dispositif doit </w:t>
      </w:r>
      <w:r w:rsidRPr="00CE17D7">
        <w:rPr>
          <w:rFonts w:asciiTheme="majorHAnsi" w:hAnsiTheme="majorHAnsi" w:cstheme="majorHAnsi"/>
          <w:u w:val="single"/>
        </w:rPr>
        <w:t>donc être systématiquement nettoyé via le circuit sale.</w:t>
      </w:r>
      <w:r w:rsidRPr="00CE17D7">
        <w:rPr>
          <w:rFonts w:asciiTheme="majorHAnsi" w:hAnsiTheme="majorHAnsi" w:cstheme="majorHAnsi"/>
        </w:rPr>
        <w:t xml:space="preserve"> </w:t>
      </w:r>
    </w:p>
    <w:p w:rsidR="00CE17D7" w:rsidRPr="00CE17D7" w:rsidRDefault="00CE17D7" w:rsidP="00CE17D7">
      <w:pPr>
        <w:spacing w:after="0" w:line="240" w:lineRule="auto"/>
        <w:jc w:val="both"/>
        <w:rPr>
          <w:rFonts w:asciiTheme="majorHAnsi" w:hAnsiTheme="majorHAnsi" w:cstheme="majorHAnsi"/>
        </w:rPr>
      </w:pPr>
    </w:p>
    <w:p w:rsidR="00CE17D7" w:rsidRPr="00CE17D7" w:rsidRDefault="00CE17D7" w:rsidP="00CE17D7">
      <w:pPr>
        <w:spacing w:after="0" w:line="240" w:lineRule="auto"/>
        <w:jc w:val="both"/>
        <w:rPr>
          <w:rFonts w:asciiTheme="majorHAnsi" w:hAnsiTheme="majorHAnsi" w:cstheme="majorHAnsi"/>
        </w:rPr>
      </w:pPr>
    </w:p>
    <w:p w:rsidR="00CE17D7" w:rsidRPr="00CE17D7" w:rsidRDefault="00CE17D7" w:rsidP="00CE17D7">
      <w:pPr>
        <w:spacing w:after="0" w:line="240" w:lineRule="auto"/>
        <w:jc w:val="both"/>
        <w:rPr>
          <w:rFonts w:asciiTheme="majorHAnsi" w:hAnsiTheme="majorHAnsi" w:cstheme="majorHAnsi"/>
        </w:rPr>
      </w:pPr>
      <w:r w:rsidRPr="00CE17D7">
        <w:rPr>
          <w:rFonts w:asciiTheme="majorHAnsi" w:hAnsiTheme="majorHAnsi" w:cstheme="majorHAnsi"/>
          <w:noProof/>
          <w:color w:val="FFFFFF"/>
          <w:lang w:eastAsia="fr-FR"/>
        </w:rPr>
        <mc:AlternateContent>
          <mc:Choice Requires="wps">
            <w:drawing>
              <wp:anchor distT="45720" distB="45720" distL="114300" distR="114300" simplePos="0" relativeHeight="251680768" behindDoc="0" locked="0" layoutInCell="1" allowOverlap="1" wp14:anchorId="30A5D6AE" wp14:editId="65299CE3">
                <wp:simplePos x="0" y="0"/>
                <wp:positionH relativeFrom="column">
                  <wp:posOffset>0</wp:posOffset>
                </wp:positionH>
                <wp:positionV relativeFrom="paragraph">
                  <wp:posOffset>238179</wp:posOffset>
                </wp:positionV>
                <wp:extent cx="5916295" cy="346710"/>
                <wp:effectExtent l="0" t="0" r="27305" b="1524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46710"/>
                        </a:xfrm>
                        <a:prstGeom prst="rect">
                          <a:avLst/>
                        </a:prstGeom>
                        <a:solidFill>
                          <a:srgbClr val="FFFFFF"/>
                        </a:solidFill>
                        <a:ln w="9525">
                          <a:solidFill>
                            <a:srgbClr val="000000"/>
                          </a:solidFill>
                          <a:miter lim="800000"/>
                          <a:headEnd/>
                          <a:tailEnd/>
                        </a:ln>
                      </wps:spPr>
                      <wps:txbx>
                        <w:txbxContent>
                          <w:p w:rsidR="00CE17D7" w:rsidRPr="00CE17D7" w:rsidRDefault="00CE17D7" w:rsidP="00CE17D7">
                            <w:pPr>
                              <w:jc w:val="center"/>
                              <w:rPr>
                                <w:rFonts w:asciiTheme="majorHAnsi" w:hAnsiTheme="majorHAnsi" w:cstheme="majorHAnsi"/>
                                <w:b/>
                                <w:sz w:val="24"/>
                                <w:szCs w:val="24"/>
                              </w:rPr>
                            </w:pPr>
                            <w:r w:rsidRPr="00CE17D7">
                              <w:rPr>
                                <w:rFonts w:asciiTheme="majorHAnsi" w:hAnsiTheme="majorHAnsi" w:cstheme="majorHAnsi"/>
                                <w:b/>
                                <w:sz w:val="24"/>
                                <w:szCs w:val="24"/>
                              </w:rPr>
                              <w:t>TRACABILITE DES PSL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5D6AE" id="Zone de texte 13" o:spid="_x0000_s1036" type="#_x0000_t202" style="position:absolute;left:0;text-align:left;margin-left:0;margin-top:18.75pt;width:465.85pt;height:27.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">
                <v:textbox>
                  <w:txbxContent>
                    <w:p w:rsidR="00CE17D7" w:rsidRPr="00CE17D7" w:rsidRDefault="00CE17D7" w:rsidP="00CE17D7">
                      <w:pPr>
                        <w:jc w:val="center"/>
                        <w:rPr>
                          <w:rFonts w:asciiTheme="majorHAnsi" w:hAnsiTheme="majorHAnsi" w:cstheme="majorHAnsi"/>
                          <w:b/>
                          <w:sz w:val="24"/>
                          <w:szCs w:val="24"/>
                        </w:rPr>
                      </w:pPr>
                      <w:r w:rsidRPr="00CE17D7">
                        <w:rPr>
                          <w:rFonts w:asciiTheme="majorHAnsi" w:hAnsiTheme="majorHAnsi" w:cstheme="majorHAnsi"/>
                          <w:b/>
                          <w:sz w:val="24"/>
                          <w:szCs w:val="24"/>
                        </w:rPr>
                        <w:t>TRACABILITE DES PSL</w:t>
                      </w:r>
                    </w:p>
                  </w:txbxContent>
                </v:textbox>
                <w10:wrap type="square"/>
              </v:shape>
            </w:pict>
          </mc:Fallback>
        </mc:AlternateContent>
      </w:r>
      <w:bookmarkStart w:id="3" w:name="_GoBack"/>
      <w:bookmarkEnd w:id="3"/>
    </w:p>
    <w:p w:rsidR="00CE17D7" w:rsidRPr="00CE17D7" w:rsidRDefault="00CE17D7" w:rsidP="00CE17D7">
      <w:pPr>
        <w:pStyle w:val="Paragraphedeliste"/>
        <w:jc w:val="both"/>
        <w:rPr>
          <w:rFonts w:asciiTheme="majorHAnsi" w:eastAsiaTheme="minorEastAsia" w:hAnsiTheme="majorHAnsi" w:cstheme="majorHAnsi"/>
          <w:color w:val="000000" w:themeColor="text1"/>
          <w:kern w:val="24"/>
        </w:rPr>
      </w:pPr>
    </w:p>
    <w:p w:rsidR="00CE17D7" w:rsidRPr="00CE17D7" w:rsidRDefault="00CE17D7" w:rsidP="00CE17D7">
      <w:pPr>
        <w:spacing w:after="0" w:line="240" w:lineRule="auto"/>
        <w:jc w:val="both"/>
        <w:rPr>
          <w:rFonts w:asciiTheme="majorHAnsi" w:eastAsiaTheme="minorEastAsia" w:hAnsiTheme="majorHAnsi" w:cstheme="majorHAnsi"/>
          <w:color w:val="000000" w:themeColor="text1"/>
          <w:kern w:val="24"/>
        </w:rPr>
      </w:pPr>
      <w:r w:rsidRPr="00CE17D7">
        <w:rPr>
          <w:rFonts w:asciiTheme="majorHAnsi" w:eastAsiaTheme="minorEastAsia" w:hAnsiTheme="majorHAnsi" w:cstheme="majorHAnsi"/>
          <w:color w:val="000000" w:themeColor="text1"/>
          <w:kern w:val="24"/>
        </w:rPr>
        <w:t xml:space="preserve">La traçabilité du </w:t>
      </w:r>
      <w:r w:rsidR="006D0FDE">
        <w:rPr>
          <w:rFonts w:asciiTheme="majorHAnsi" w:eastAsiaTheme="minorEastAsia" w:hAnsiTheme="majorHAnsi" w:cstheme="majorHAnsi"/>
          <w:color w:val="000000" w:themeColor="text1"/>
          <w:kern w:val="24"/>
        </w:rPr>
        <w:t>PSL</w:t>
      </w:r>
      <w:r w:rsidRPr="00CE17D7">
        <w:rPr>
          <w:rFonts w:asciiTheme="majorHAnsi" w:eastAsiaTheme="minorEastAsia" w:hAnsiTheme="majorHAnsi" w:cstheme="majorHAnsi"/>
          <w:color w:val="000000" w:themeColor="text1"/>
          <w:kern w:val="24"/>
        </w:rPr>
        <w:t xml:space="preserve"> doit être à 100%. Elle sera réalisée par le biais des FDN (traçabilité papier). La FDN est scannée dans le dossier patient de l’HAD et une FDN est adressée au site EFS de délivrance du PSL. </w:t>
      </w:r>
    </w:p>
    <w:p w:rsidR="00CE17D7" w:rsidRPr="00CE17D7" w:rsidRDefault="00CE17D7" w:rsidP="00CE17D7">
      <w:pPr>
        <w:pStyle w:val="Paragraphedeliste"/>
        <w:jc w:val="both"/>
        <w:rPr>
          <w:rFonts w:asciiTheme="majorHAnsi" w:eastAsiaTheme="minorEastAsia" w:hAnsiTheme="majorHAnsi" w:cstheme="majorHAnsi"/>
          <w:b/>
          <w:color w:val="000000" w:themeColor="text1"/>
          <w:kern w:val="24"/>
        </w:rPr>
      </w:pPr>
    </w:p>
    <w:p w:rsidR="00CE17D7" w:rsidRPr="00CE17D7" w:rsidRDefault="00CE17D7" w:rsidP="00CE17D7">
      <w:pPr>
        <w:spacing w:after="0" w:line="240" w:lineRule="auto"/>
        <w:jc w:val="both"/>
        <w:rPr>
          <w:rFonts w:asciiTheme="majorHAnsi" w:hAnsiTheme="majorHAnsi" w:cstheme="majorHAnsi"/>
          <w:color w:val="FFFFFF"/>
        </w:rPr>
      </w:pPr>
      <w:r w:rsidRPr="00CE17D7">
        <w:rPr>
          <w:rFonts w:asciiTheme="majorHAnsi" w:eastAsiaTheme="minorEastAsia" w:hAnsiTheme="majorHAnsi" w:cstheme="majorHAnsi"/>
          <w:color w:val="000000" w:themeColor="text1"/>
          <w:kern w:val="24"/>
        </w:rPr>
        <w:t xml:space="preserve">Chaque </w:t>
      </w:r>
      <w:r w:rsidR="006D0FDE">
        <w:rPr>
          <w:rFonts w:asciiTheme="majorHAnsi" w:eastAsiaTheme="minorEastAsia" w:hAnsiTheme="majorHAnsi" w:cstheme="majorHAnsi"/>
          <w:color w:val="000000" w:themeColor="text1"/>
          <w:kern w:val="24"/>
        </w:rPr>
        <w:t>PSL</w:t>
      </w:r>
      <w:r w:rsidRPr="00CE17D7">
        <w:rPr>
          <w:rFonts w:asciiTheme="majorHAnsi" w:eastAsiaTheme="minorEastAsia" w:hAnsiTheme="majorHAnsi" w:cstheme="majorHAnsi"/>
          <w:color w:val="000000" w:themeColor="text1"/>
          <w:kern w:val="24"/>
        </w:rPr>
        <w:t xml:space="preserve"> réceptionné par l’établissement doit être rattaché à un IPP et un numéro de séjour et ce quel que soit le devenir du PSL :</w:t>
      </w:r>
    </w:p>
    <w:p w:rsidR="00CE17D7" w:rsidRPr="00CE17D7" w:rsidRDefault="00CE17D7" w:rsidP="00CE17D7">
      <w:pPr>
        <w:pStyle w:val="Paragraphedeliste"/>
        <w:jc w:val="both"/>
        <w:rPr>
          <w:rFonts w:asciiTheme="majorHAnsi" w:eastAsiaTheme="minorEastAsia" w:hAnsiTheme="majorHAnsi" w:cstheme="majorHAnsi"/>
          <w:color w:val="000000" w:themeColor="text1"/>
          <w:kern w:val="24"/>
        </w:rPr>
      </w:pPr>
    </w:p>
    <w:p w:rsidR="00CE17D7" w:rsidRPr="00CE17D7" w:rsidRDefault="00CE17D7" w:rsidP="00CE17D7">
      <w:pPr>
        <w:pStyle w:val="Paragraphedeliste"/>
        <w:numPr>
          <w:ilvl w:val="1"/>
          <w:numId w:val="32"/>
        </w:numPr>
        <w:spacing w:after="0" w:line="240" w:lineRule="auto"/>
        <w:ind w:left="567" w:hanging="283"/>
        <w:jc w:val="both"/>
        <w:rPr>
          <w:rFonts w:asciiTheme="majorHAnsi" w:hAnsiTheme="majorHAnsi" w:cstheme="majorHAnsi"/>
          <w:color w:val="FFFFFF"/>
        </w:rPr>
      </w:pPr>
      <w:r w:rsidRPr="00CE17D7">
        <w:rPr>
          <w:rFonts w:asciiTheme="majorHAnsi" w:eastAsiaTheme="minorEastAsia" w:hAnsiTheme="majorHAnsi" w:cstheme="majorHAnsi"/>
          <w:color w:val="000000" w:themeColor="text1"/>
          <w:kern w:val="24"/>
        </w:rPr>
        <w:t>- administration patient, en totalité ou partielle</w:t>
      </w:r>
    </w:p>
    <w:p w:rsidR="00CE17D7" w:rsidRPr="00CE17D7" w:rsidRDefault="00CE17D7" w:rsidP="00CE17D7">
      <w:pPr>
        <w:pStyle w:val="Paragraphedeliste"/>
        <w:ind w:left="567" w:hanging="283"/>
        <w:jc w:val="both"/>
        <w:rPr>
          <w:rFonts w:asciiTheme="majorHAnsi" w:eastAsiaTheme="minorEastAsia" w:hAnsiTheme="majorHAnsi" w:cstheme="majorHAnsi"/>
          <w:color w:val="000000" w:themeColor="text1"/>
          <w:kern w:val="24"/>
        </w:rPr>
      </w:pPr>
    </w:p>
    <w:p w:rsidR="00CE17D7" w:rsidRPr="00CE17D7" w:rsidRDefault="00CE17D7" w:rsidP="00CE17D7">
      <w:pPr>
        <w:pStyle w:val="Paragraphedeliste"/>
        <w:numPr>
          <w:ilvl w:val="1"/>
          <w:numId w:val="32"/>
        </w:numPr>
        <w:spacing w:after="0" w:line="240" w:lineRule="auto"/>
        <w:ind w:left="567" w:hanging="283"/>
        <w:jc w:val="both"/>
        <w:rPr>
          <w:rFonts w:asciiTheme="majorHAnsi" w:hAnsiTheme="majorHAnsi" w:cstheme="majorHAnsi"/>
          <w:color w:val="FFFFFF"/>
        </w:rPr>
      </w:pPr>
      <w:r w:rsidRPr="00CE17D7">
        <w:rPr>
          <w:rFonts w:asciiTheme="majorHAnsi" w:eastAsiaTheme="minorEastAsia" w:hAnsiTheme="majorHAnsi" w:cstheme="majorHAnsi"/>
          <w:color w:val="000000" w:themeColor="text1"/>
          <w:kern w:val="24"/>
        </w:rPr>
        <w:t>- renvoie du PSL à l’EFS si poche non percutée</w:t>
      </w:r>
    </w:p>
    <w:p w:rsidR="00CE17D7" w:rsidRPr="00CE17D7" w:rsidRDefault="00CE17D7" w:rsidP="00CE17D7">
      <w:pPr>
        <w:pStyle w:val="Paragraphedeliste"/>
        <w:ind w:left="567" w:hanging="283"/>
        <w:jc w:val="both"/>
        <w:rPr>
          <w:rFonts w:asciiTheme="majorHAnsi" w:eastAsiaTheme="minorEastAsia" w:hAnsiTheme="majorHAnsi" w:cstheme="majorHAnsi"/>
          <w:color w:val="000000" w:themeColor="text1"/>
          <w:kern w:val="24"/>
        </w:rPr>
      </w:pPr>
    </w:p>
    <w:p w:rsidR="00CE17D7" w:rsidRPr="00CE17D7" w:rsidRDefault="00CE17D7" w:rsidP="00CE17D7">
      <w:pPr>
        <w:pStyle w:val="Paragraphedeliste"/>
        <w:numPr>
          <w:ilvl w:val="1"/>
          <w:numId w:val="32"/>
        </w:numPr>
        <w:spacing w:after="0" w:line="240" w:lineRule="auto"/>
        <w:ind w:left="567" w:hanging="283"/>
        <w:jc w:val="both"/>
        <w:rPr>
          <w:rFonts w:asciiTheme="majorHAnsi" w:hAnsiTheme="majorHAnsi" w:cstheme="majorHAnsi"/>
          <w:color w:val="FFFFFF"/>
        </w:rPr>
      </w:pPr>
      <w:r w:rsidRPr="00CE17D7">
        <w:rPr>
          <w:rFonts w:asciiTheme="majorHAnsi" w:eastAsiaTheme="minorEastAsia" w:hAnsiTheme="majorHAnsi" w:cstheme="majorHAnsi"/>
          <w:color w:val="000000" w:themeColor="text1"/>
          <w:kern w:val="24"/>
        </w:rPr>
        <w:t>-  renvoie du PSL pour culture à l’EFS dans le cadre de l’enquête EIR</w:t>
      </w:r>
    </w:p>
    <w:p w:rsidR="00CE17D7" w:rsidRPr="00CE17D7" w:rsidRDefault="00CE17D7" w:rsidP="00CE17D7">
      <w:pPr>
        <w:pStyle w:val="Paragraphedeliste"/>
        <w:ind w:left="567" w:hanging="283"/>
        <w:jc w:val="both"/>
        <w:rPr>
          <w:rFonts w:asciiTheme="majorHAnsi" w:eastAsiaTheme="minorEastAsia" w:hAnsiTheme="majorHAnsi" w:cstheme="majorHAnsi"/>
          <w:color w:val="000000" w:themeColor="text1"/>
          <w:kern w:val="24"/>
        </w:rPr>
      </w:pPr>
    </w:p>
    <w:p w:rsidR="00CE17D7" w:rsidRPr="00CE17D7" w:rsidRDefault="00CE17D7" w:rsidP="00CE17D7">
      <w:pPr>
        <w:pStyle w:val="Paragraphedeliste"/>
        <w:ind w:left="567"/>
        <w:jc w:val="both"/>
        <w:rPr>
          <w:rFonts w:asciiTheme="majorHAnsi" w:eastAsiaTheme="minorEastAsia" w:hAnsiTheme="majorHAnsi" w:cstheme="majorHAnsi"/>
          <w:color w:val="000000" w:themeColor="text1"/>
          <w:kern w:val="24"/>
        </w:rPr>
      </w:pPr>
      <w:r w:rsidRPr="00CE17D7">
        <w:rPr>
          <w:rFonts w:asciiTheme="majorHAnsi" w:eastAsiaTheme="minorEastAsia" w:hAnsiTheme="majorHAnsi" w:cstheme="majorHAnsi"/>
          <w:color w:val="000000" w:themeColor="text1"/>
          <w:kern w:val="24"/>
        </w:rPr>
        <w:t xml:space="preserve">- PSL jeté dans le circuit DASRI si poche percutée et non adressée pour culture à l’EFS </w:t>
      </w:r>
    </w:p>
    <w:p w:rsidR="00CE17D7" w:rsidRPr="00CE17D7" w:rsidRDefault="00CE17D7" w:rsidP="00CE17D7">
      <w:pPr>
        <w:pStyle w:val="Paragraphedeliste"/>
        <w:ind w:left="567"/>
        <w:jc w:val="both"/>
        <w:rPr>
          <w:rFonts w:asciiTheme="majorHAnsi" w:eastAsiaTheme="minorEastAsia" w:hAnsiTheme="majorHAnsi" w:cstheme="majorHAnsi"/>
          <w:color w:val="000000" w:themeColor="text1"/>
          <w:kern w:val="24"/>
        </w:rPr>
      </w:pPr>
      <w:r w:rsidRPr="00CE17D7">
        <w:rPr>
          <w:rFonts w:asciiTheme="majorHAnsi" w:hAnsiTheme="majorHAnsi" w:cstheme="majorHAnsi"/>
          <w:noProof/>
          <w:lang w:eastAsia="fr-FR"/>
        </w:rPr>
        <mc:AlternateContent>
          <mc:Choice Requires="wps">
            <w:drawing>
              <wp:anchor distT="45720" distB="45720" distL="114300" distR="114300" simplePos="0" relativeHeight="251681792" behindDoc="0" locked="0" layoutInCell="1" allowOverlap="1" wp14:anchorId="08749BD7" wp14:editId="7C8B45BE">
                <wp:simplePos x="0" y="0"/>
                <wp:positionH relativeFrom="margin">
                  <wp:align>left</wp:align>
                </wp:positionH>
                <wp:positionV relativeFrom="paragraph">
                  <wp:posOffset>430530</wp:posOffset>
                </wp:positionV>
                <wp:extent cx="5916295" cy="346710"/>
                <wp:effectExtent l="0" t="0" r="27305" b="15240"/>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46710"/>
                        </a:xfrm>
                        <a:prstGeom prst="rect">
                          <a:avLst/>
                        </a:prstGeom>
                        <a:solidFill>
                          <a:srgbClr val="FFFFFF"/>
                        </a:solidFill>
                        <a:ln w="9525">
                          <a:solidFill>
                            <a:srgbClr val="000000"/>
                          </a:solidFill>
                          <a:miter lim="800000"/>
                          <a:headEnd/>
                          <a:tailEnd/>
                        </a:ln>
                      </wps:spPr>
                      <wps:txbx>
                        <w:txbxContent>
                          <w:p w:rsidR="00CE17D7" w:rsidRPr="00CE17D7" w:rsidRDefault="00CE17D7" w:rsidP="00CE17D7">
                            <w:pPr>
                              <w:jc w:val="center"/>
                              <w:rPr>
                                <w:rFonts w:asciiTheme="majorHAnsi" w:hAnsiTheme="majorHAnsi" w:cstheme="majorHAnsi"/>
                                <w:b/>
                                <w:sz w:val="24"/>
                                <w:szCs w:val="24"/>
                              </w:rPr>
                            </w:pPr>
                            <w:r w:rsidRPr="00CE17D7">
                              <w:rPr>
                                <w:rFonts w:asciiTheme="majorHAnsi" w:hAnsiTheme="majorHAnsi" w:cstheme="majorHAnsi"/>
                                <w:b/>
                                <w:sz w:val="24"/>
                                <w:szCs w:val="24"/>
                              </w:rPr>
                              <w:t>DOSSIER TRANSFUSIONNEL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49BD7" id="Zone de texte 14" o:spid="_x0000_s1037" type="#_x0000_t202" style="position:absolute;left:0;text-align:left;margin-left:0;margin-top:33.9pt;width:465.85pt;height:27.3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">
                <v:textbox>
                  <w:txbxContent>
                    <w:p w:rsidR="00CE17D7" w:rsidRPr="00CE17D7" w:rsidRDefault="00CE17D7" w:rsidP="00CE17D7">
                      <w:pPr>
                        <w:jc w:val="center"/>
                        <w:rPr>
                          <w:rFonts w:asciiTheme="majorHAnsi" w:hAnsiTheme="majorHAnsi" w:cstheme="majorHAnsi"/>
                          <w:b/>
                          <w:sz w:val="24"/>
                          <w:szCs w:val="24"/>
                        </w:rPr>
                      </w:pPr>
                      <w:r w:rsidRPr="00CE17D7">
                        <w:rPr>
                          <w:rFonts w:asciiTheme="majorHAnsi" w:hAnsiTheme="majorHAnsi" w:cstheme="majorHAnsi"/>
                          <w:b/>
                          <w:sz w:val="24"/>
                          <w:szCs w:val="24"/>
                        </w:rPr>
                        <w:t>DOSSIER TRANSFUSIONNEL</w:t>
                      </w:r>
                    </w:p>
                  </w:txbxContent>
                </v:textbox>
                <w10:wrap type="square" anchorx="margin"/>
              </v:shape>
            </w:pict>
          </mc:Fallback>
        </mc:AlternateContent>
      </w:r>
    </w:p>
    <w:p w:rsidR="00CE17D7" w:rsidRPr="00CE17D7" w:rsidRDefault="00CE17D7" w:rsidP="00CE17D7">
      <w:pPr>
        <w:spacing w:after="0" w:line="240" w:lineRule="auto"/>
        <w:rPr>
          <w:rFonts w:asciiTheme="majorHAnsi" w:hAnsiTheme="majorHAnsi" w:cstheme="majorHAnsi"/>
        </w:rPr>
      </w:pPr>
    </w:p>
    <w:p w:rsidR="00CE17D7" w:rsidRPr="00CE17D7" w:rsidRDefault="00CE17D7" w:rsidP="00CE17D7">
      <w:pPr>
        <w:spacing w:after="0" w:line="240" w:lineRule="auto"/>
        <w:jc w:val="both"/>
        <w:rPr>
          <w:rFonts w:asciiTheme="majorHAnsi" w:hAnsiTheme="majorHAnsi" w:cstheme="majorHAnsi"/>
          <w:u w:val="single"/>
        </w:rPr>
      </w:pPr>
      <w:r w:rsidRPr="00CE17D7">
        <w:rPr>
          <w:rFonts w:asciiTheme="majorHAnsi" w:hAnsiTheme="majorHAnsi" w:cstheme="majorHAnsi"/>
          <w:u w:val="single"/>
        </w:rPr>
        <w:t xml:space="preserve">Dossier informatisé </w:t>
      </w:r>
    </w:p>
    <w:p w:rsidR="00CE17D7" w:rsidRPr="00CE17D7" w:rsidRDefault="00CE17D7" w:rsidP="00CE17D7">
      <w:pPr>
        <w:spacing w:after="0" w:line="240" w:lineRule="auto"/>
        <w:jc w:val="both"/>
        <w:rPr>
          <w:rFonts w:asciiTheme="majorHAnsi" w:hAnsiTheme="majorHAnsi" w:cstheme="majorHAnsi"/>
          <w:u w:val="single"/>
        </w:rPr>
      </w:pPr>
    </w:p>
    <w:p w:rsidR="00CE17D7" w:rsidRPr="00CE17D7" w:rsidRDefault="00CE17D7" w:rsidP="00CE17D7">
      <w:pPr>
        <w:pStyle w:val="Paragraphedeliste"/>
        <w:numPr>
          <w:ilvl w:val="0"/>
          <w:numId w:val="35"/>
        </w:numPr>
        <w:spacing w:after="0" w:line="240" w:lineRule="auto"/>
        <w:ind w:left="426" w:hanging="284"/>
        <w:jc w:val="both"/>
        <w:rPr>
          <w:rFonts w:asciiTheme="majorHAnsi" w:hAnsiTheme="majorHAnsi" w:cstheme="majorHAnsi"/>
          <w:highlight w:val="yellow"/>
        </w:rPr>
      </w:pPr>
      <w:r w:rsidRPr="00CE17D7">
        <w:rPr>
          <w:rFonts w:asciiTheme="majorHAnsi" w:hAnsiTheme="majorHAnsi" w:cstheme="majorHAnsi"/>
        </w:rPr>
        <w:t xml:space="preserve">Le dossier transfusionnel est informatisé </w:t>
      </w:r>
    </w:p>
    <w:p w:rsidR="00CE17D7" w:rsidRPr="00CE17D7" w:rsidRDefault="00CE17D7" w:rsidP="00CE17D7">
      <w:pPr>
        <w:pStyle w:val="Paragraphedeliste"/>
        <w:spacing w:line="254" w:lineRule="auto"/>
        <w:ind w:left="426"/>
        <w:jc w:val="both"/>
        <w:rPr>
          <w:rFonts w:asciiTheme="majorHAnsi" w:hAnsiTheme="majorHAnsi" w:cstheme="majorHAnsi"/>
        </w:rPr>
      </w:pPr>
    </w:p>
    <w:p w:rsidR="00CE17D7" w:rsidRPr="00CE17D7" w:rsidRDefault="00CE17D7" w:rsidP="00CE17D7">
      <w:pPr>
        <w:pStyle w:val="Paragraphedeliste"/>
        <w:numPr>
          <w:ilvl w:val="0"/>
          <w:numId w:val="35"/>
        </w:numPr>
        <w:spacing w:after="0" w:line="254" w:lineRule="auto"/>
        <w:ind w:left="426" w:hanging="284"/>
        <w:jc w:val="both"/>
        <w:rPr>
          <w:rFonts w:asciiTheme="majorHAnsi" w:hAnsiTheme="majorHAnsi" w:cstheme="majorHAnsi"/>
        </w:rPr>
      </w:pPr>
      <w:r w:rsidRPr="00CE17D7">
        <w:rPr>
          <w:rFonts w:asciiTheme="majorHAnsi" w:hAnsiTheme="majorHAnsi" w:cstheme="majorHAnsi"/>
        </w:rPr>
        <w:t xml:space="preserve">La rubrique « Formulaires » / Item « TRANSFUSION » et la rubrique « TRANSFUSION » dans les documents numérisés permettent de rattacher l’ensemble des éléments constitutifs du dossier transfusionnel d’un patient pris en charge dans le cadre d’un séjour transfusionnel en HAD </w:t>
      </w:r>
    </w:p>
    <w:p w:rsidR="00CE17D7" w:rsidRPr="00CE17D7" w:rsidRDefault="00CE17D7" w:rsidP="00CE17D7">
      <w:pPr>
        <w:pStyle w:val="Paragraphedeliste"/>
        <w:spacing w:line="254" w:lineRule="auto"/>
        <w:ind w:left="426"/>
        <w:jc w:val="both"/>
        <w:rPr>
          <w:rFonts w:asciiTheme="majorHAnsi" w:hAnsiTheme="majorHAnsi" w:cstheme="majorHAnsi"/>
        </w:rPr>
      </w:pPr>
    </w:p>
    <w:p w:rsidR="00CE17D7" w:rsidRPr="00CE17D7" w:rsidRDefault="00CE17D7" w:rsidP="00CE17D7">
      <w:pPr>
        <w:pStyle w:val="Paragraphedeliste"/>
        <w:numPr>
          <w:ilvl w:val="0"/>
          <w:numId w:val="35"/>
        </w:numPr>
        <w:spacing w:after="0" w:line="240" w:lineRule="auto"/>
        <w:ind w:left="426" w:hanging="284"/>
        <w:jc w:val="both"/>
        <w:rPr>
          <w:rFonts w:asciiTheme="majorHAnsi" w:hAnsiTheme="majorHAnsi" w:cstheme="majorHAnsi"/>
        </w:rPr>
      </w:pPr>
      <w:r w:rsidRPr="00CE17D7">
        <w:rPr>
          <w:rFonts w:asciiTheme="majorHAnsi" w:hAnsiTheme="majorHAnsi" w:cstheme="majorHAnsi"/>
        </w:rPr>
        <w:t>Le dossier transfusionnel contient obligatoirement :</w:t>
      </w:r>
    </w:p>
    <w:p w:rsidR="00CE17D7" w:rsidRPr="00CE17D7" w:rsidRDefault="00CE17D7" w:rsidP="00CE17D7">
      <w:pPr>
        <w:pStyle w:val="Paragraphedeliste"/>
        <w:jc w:val="both"/>
        <w:rPr>
          <w:rFonts w:asciiTheme="majorHAnsi" w:hAnsiTheme="majorHAnsi" w:cstheme="majorHAnsi"/>
        </w:rPr>
      </w:pPr>
    </w:p>
    <w:p w:rsidR="00CE17D7" w:rsidRPr="00CE17D7" w:rsidRDefault="00CE17D7" w:rsidP="00CE17D7">
      <w:pPr>
        <w:numPr>
          <w:ilvl w:val="0"/>
          <w:numId w:val="33"/>
        </w:numPr>
        <w:spacing w:after="0" w:line="240" w:lineRule="auto"/>
        <w:ind w:left="851" w:hanging="284"/>
        <w:contextualSpacing/>
        <w:jc w:val="both"/>
        <w:rPr>
          <w:rFonts w:asciiTheme="majorHAnsi" w:hAnsiTheme="majorHAnsi" w:cstheme="majorHAnsi"/>
        </w:rPr>
      </w:pPr>
      <w:r w:rsidRPr="00CE17D7">
        <w:rPr>
          <w:rFonts w:asciiTheme="majorHAnsi" w:hAnsiTheme="majorHAnsi" w:cstheme="majorHAnsi"/>
        </w:rPr>
        <w:t>Le formulaire autorisation de soins patient/aidant </w:t>
      </w:r>
      <w:bookmarkStart w:id="4" w:name="_Hlk529470913"/>
      <w:r w:rsidRPr="00CE17D7">
        <w:rPr>
          <w:rFonts w:asciiTheme="majorHAnsi" w:hAnsiTheme="majorHAnsi" w:cstheme="majorHAnsi"/>
        </w:rPr>
        <w:t xml:space="preserve">: récupéré puis scanné dans </w:t>
      </w:r>
      <w:r w:rsidR="00D356F2">
        <w:rPr>
          <w:rFonts w:asciiTheme="majorHAnsi" w:hAnsiTheme="majorHAnsi" w:cstheme="majorHAnsi"/>
        </w:rPr>
        <w:t>le DPI</w:t>
      </w:r>
      <w:r w:rsidRPr="00CE17D7">
        <w:rPr>
          <w:rFonts w:asciiTheme="majorHAnsi" w:hAnsiTheme="majorHAnsi" w:cstheme="majorHAnsi"/>
        </w:rPr>
        <w:t xml:space="preserve"> par l’IDE </w:t>
      </w:r>
      <w:bookmarkStart w:id="5" w:name="_Hlk529471425"/>
      <w:r w:rsidRPr="00CE17D7">
        <w:rPr>
          <w:rFonts w:asciiTheme="majorHAnsi" w:hAnsiTheme="majorHAnsi" w:cstheme="majorHAnsi"/>
        </w:rPr>
        <w:t xml:space="preserve">dans Doc numérisés / TRANSFUSION </w:t>
      </w:r>
      <w:bookmarkEnd w:id="5"/>
    </w:p>
    <w:p w:rsidR="00CE17D7" w:rsidRPr="00CE17D7" w:rsidRDefault="00CE17D7" w:rsidP="00CE17D7">
      <w:pPr>
        <w:spacing w:after="0" w:line="240" w:lineRule="auto"/>
        <w:ind w:left="851" w:hanging="284"/>
        <w:contextualSpacing/>
        <w:jc w:val="both"/>
        <w:rPr>
          <w:rFonts w:asciiTheme="majorHAnsi" w:hAnsiTheme="majorHAnsi" w:cstheme="majorHAnsi"/>
        </w:rPr>
      </w:pPr>
    </w:p>
    <w:bookmarkEnd w:id="4"/>
    <w:p w:rsidR="00CE17D7" w:rsidRPr="00CE17D7" w:rsidRDefault="00CE17D7" w:rsidP="00CE17D7">
      <w:pPr>
        <w:numPr>
          <w:ilvl w:val="0"/>
          <w:numId w:val="33"/>
        </w:numPr>
        <w:spacing w:after="0" w:line="240" w:lineRule="auto"/>
        <w:ind w:left="851" w:hanging="284"/>
        <w:contextualSpacing/>
        <w:jc w:val="both"/>
        <w:rPr>
          <w:rFonts w:asciiTheme="majorHAnsi" w:hAnsiTheme="majorHAnsi" w:cstheme="majorHAnsi"/>
        </w:rPr>
      </w:pPr>
      <w:r w:rsidRPr="00CE17D7">
        <w:rPr>
          <w:rFonts w:asciiTheme="majorHAnsi" w:hAnsiTheme="majorHAnsi" w:cstheme="majorHAnsi"/>
        </w:rPr>
        <w:t xml:space="preserve">La lettre d’engagement du Médecin traitant : récupérée puis scanné dans </w:t>
      </w:r>
      <w:r w:rsidR="00D356F2">
        <w:rPr>
          <w:rFonts w:asciiTheme="majorHAnsi" w:hAnsiTheme="majorHAnsi" w:cstheme="majorHAnsi"/>
        </w:rPr>
        <w:t>DPI</w:t>
      </w:r>
      <w:r w:rsidRPr="00CE17D7">
        <w:rPr>
          <w:rFonts w:asciiTheme="majorHAnsi" w:hAnsiTheme="majorHAnsi" w:cstheme="majorHAnsi"/>
        </w:rPr>
        <w:t xml:space="preserve"> par l’IDE dans Doc numérisés / TRANSFUSION </w:t>
      </w:r>
    </w:p>
    <w:p w:rsidR="00CE17D7" w:rsidRPr="00CE17D7" w:rsidRDefault="00CE17D7" w:rsidP="00CE17D7">
      <w:pPr>
        <w:numPr>
          <w:ilvl w:val="0"/>
          <w:numId w:val="33"/>
        </w:numPr>
        <w:spacing w:after="0" w:line="240" w:lineRule="auto"/>
        <w:ind w:left="851" w:hanging="284"/>
        <w:contextualSpacing/>
        <w:jc w:val="both"/>
        <w:rPr>
          <w:rFonts w:asciiTheme="majorHAnsi" w:hAnsiTheme="majorHAnsi" w:cstheme="majorHAnsi"/>
        </w:rPr>
      </w:pPr>
      <w:r w:rsidRPr="00CE17D7">
        <w:rPr>
          <w:rFonts w:asciiTheme="majorHAnsi" w:hAnsiTheme="majorHAnsi" w:cstheme="majorHAnsi"/>
        </w:rPr>
        <w:t xml:space="preserve">La prescription du PSL : est signée puis scannée </w:t>
      </w:r>
      <w:r w:rsidR="00D356F2">
        <w:rPr>
          <w:rFonts w:asciiTheme="majorHAnsi" w:hAnsiTheme="majorHAnsi" w:cstheme="majorHAnsi"/>
        </w:rPr>
        <w:t>dans le DPI</w:t>
      </w:r>
      <w:r w:rsidRPr="00CE17D7">
        <w:rPr>
          <w:rFonts w:asciiTheme="majorHAnsi" w:hAnsiTheme="majorHAnsi" w:cstheme="majorHAnsi"/>
        </w:rPr>
        <w:t xml:space="preserve"> par le prescripteur dans Doc numérisés / TRANSFUSION </w:t>
      </w:r>
    </w:p>
    <w:p w:rsidR="00CE17D7" w:rsidRPr="00CE17D7" w:rsidRDefault="00CE17D7" w:rsidP="00CE17D7">
      <w:pPr>
        <w:spacing w:after="0" w:line="240" w:lineRule="auto"/>
        <w:ind w:left="851" w:hanging="284"/>
        <w:contextualSpacing/>
        <w:jc w:val="both"/>
        <w:rPr>
          <w:rFonts w:asciiTheme="majorHAnsi" w:hAnsiTheme="majorHAnsi" w:cstheme="majorHAnsi"/>
        </w:rPr>
      </w:pPr>
    </w:p>
    <w:p w:rsidR="00CE17D7" w:rsidRPr="00CE17D7" w:rsidRDefault="00CE17D7" w:rsidP="00CE17D7">
      <w:pPr>
        <w:numPr>
          <w:ilvl w:val="0"/>
          <w:numId w:val="33"/>
        </w:numPr>
        <w:spacing w:after="0" w:line="240" w:lineRule="auto"/>
        <w:ind w:left="851" w:hanging="284"/>
        <w:contextualSpacing/>
        <w:jc w:val="both"/>
        <w:rPr>
          <w:rFonts w:asciiTheme="majorHAnsi" w:hAnsiTheme="majorHAnsi" w:cstheme="majorHAnsi"/>
        </w:rPr>
      </w:pPr>
      <w:r w:rsidRPr="00CE17D7">
        <w:rPr>
          <w:rFonts w:asciiTheme="majorHAnsi" w:hAnsiTheme="majorHAnsi" w:cstheme="majorHAnsi"/>
        </w:rPr>
        <w:t xml:space="preserve">Le groupage patient sera récupéré </w:t>
      </w:r>
      <w:bookmarkStart w:id="6" w:name="_Hlk529471560"/>
      <w:r w:rsidRPr="00CE17D7">
        <w:rPr>
          <w:rFonts w:asciiTheme="majorHAnsi" w:hAnsiTheme="majorHAnsi" w:cstheme="majorHAnsi"/>
        </w:rPr>
        <w:t xml:space="preserve">puis scannée </w:t>
      </w:r>
      <w:r w:rsidR="00D356F2">
        <w:rPr>
          <w:rFonts w:asciiTheme="majorHAnsi" w:hAnsiTheme="majorHAnsi" w:cstheme="majorHAnsi"/>
        </w:rPr>
        <w:t>dans le DPI</w:t>
      </w:r>
      <w:r w:rsidR="00D356F2" w:rsidRPr="00CE17D7">
        <w:rPr>
          <w:rFonts w:asciiTheme="majorHAnsi" w:hAnsiTheme="majorHAnsi" w:cstheme="majorHAnsi"/>
        </w:rPr>
        <w:t xml:space="preserve"> </w:t>
      </w:r>
      <w:r w:rsidRPr="00CE17D7">
        <w:rPr>
          <w:rFonts w:asciiTheme="majorHAnsi" w:hAnsiTheme="majorHAnsi" w:cstheme="majorHAnsi"/>
        </w:rPr>
        <w:t xml:space="preserve">par l’IDE </w:t>
      </w:r>
      <w:bookmarkEnd w:id="6"/>
      <w:r w:rsidRPr="00CE17D7">
        <w:rPr>
          <w:rFonts w:asciiTheme="majorHAnsi" w:hAnsiTheme="majorHAnsi" w:cstheme="majorHAnsi"/>
        </w:rPr>
        <w:t xml:space="preserve">dans Doc numérisés / TRANSFUSION </w:t>
      </w:r>
    </w:p>
    <w:p w:rsidR="00CE17D7" w:rsidRPr="00CE17D7" w:rsidRDefault="00CE17D7" w:rsidP="00CE17D7">
      <w:pPr>
        <w:spacing w:after="0" w:line="240" w:lineRule="auto"/>
        <w:ind w:left="720"/>
        <w:contextualSpacing/>
        <w:jc w:val="both"/>
        <w:rPr>
          <w:rFonts w:asciiTheme="majorHAnsi" w:hAnsiTheme="majorHAnsi" w:cstheme="majorHAnsi"/>
        </w:rPr>
      </w:pPr>
    </w:p>
    <w:p w:rsidR="00CE17D7" w:rsidRPr="00CE17D7" w:rsidRDefault="00CE17D7" w:rsidP="00CE17D7">
      <w:pPr>
        <w:numPr>
          <w:ilvl w:val="0"/>
          <w:numId w:val="33"/>
        </w:numPr>
        <w:spacing w:after="0" w:line="240" w:lineRule="auto"/>
        <w:contextualSpacing/>
        <w:jc w:val="both"/>
        <w:rPr>
          <w:rFonts w:asciiTheme="majorHAnsi" w:hAnsiTheme="majorHAnsi" w:cstheme="majorHAnsi"/>
        </w:rPr>
      </w:pPr>
      <w:r w:rsidRPr="00CE17D7">
        <w:rPr>
          <w:rFonts w:asciiTheme="majorHAnsi" w:hAnsiTheme="majorHAnsi" w:cstheme="majorHAnsi"/>
        </w:rPr>
        <w:t xml:space="preserve">La FDN sera complétée puis scannée </w:t>
      </w:r>
      <w:r w:rsidR="00D356F2">
        <w:rPr>
          <w:rFonts w:asciiTheme="majorHAnsi" w:hAnsiTheme="majorHAnsi" w:cstheme="majorHAnsi"/>
        </w:rPr>
        <w:t>dans le DPI</w:t>
      </w:r>
      <w:r w:rsidR="00D356F2" w:rsidRPr="00CE17D7">
        <w:rPr>
          <w:rFonts w:asciiTheme="majorHAnsi" w:hAnsiTheme="majorHAnsi" w:cstheme="majorHAnsi"/>
        </w:rPr>
        <w:t xml:space="preserve"> </w:t>
      </w:r>
      <w:r w:rsidRPr="00CE17D7">
        <w:rPr>
          <w:rFonts w:asciiTheme="majorHAnsi" w:hAnsiTheme="majorHAnsi" w:cstheme="majorHAnsi"/>
        </w:rPr>
        <w:t xml:space="preserve">par l’IDE dans Doc numérisés / TRANSFUSION </w:t>
      </w:r>
    </w:p>
    <w:p w:rsidR="00CE17D7" w:rsidRPr="00CE17D7" w:rsidRDefault="00CE17D7" w:rsidP="00CE17D7">
      <w:pPr>
        <w:spacing w:after="0" w:line="240" w:lineRule="auto"/>
        <w:ind w:left="720"/>
        <w:contextualSpacing/>
        <w:jc w:val="both"/>
        <w:rPr>
          <w:rFonts w:asciiTheme="majorHAnsi" w:hAnsiTheme="majorHAnsi" w:cstheme="majorHAnsi"/>
        </w:rPr>
      </w:pPr>
    </w:p>
    <w:p w:rsidR="00CE17D7" w:rsidRPr="00CE17D7" w:rsidRDefault="00CE17D7" w:rsidP="00CE17D7">
      <w:pPr>
        <w:numPr>
          <w:ilvl w:val="0"/>
          <w:numId w:val="33"/>
        </w:numPr>
        <w:spacing w:after="0" w:line="240" w:lineRule="auto"/>
        <w:contextualSpacing/>
        <w:jc w:val="both"/>
        <w:rPr>
          <w:rFonts w:asciiTheme="majorHAnsi" w:hAnsiTheme="majorHAnsi" w:cstheme="majorHAnsi"/>
        </w:rPr>
      </w:pPr>
      <w:r w:rsidRPr="00CE17D7">
        <w:rPr>
          <w:rFonts w:asciiTheme="majorHAnsi" w:hAnsiTheme="majorHAnsi" w:cstheme="majorHAnsi"/>
        </w:rPr>
        <w:t xml:space="preserve">La Check lits sera complétée directement </w:t>
      </w:r>
      <w:r w:rsidR="00D356F2">
        <w:rPr>
          <w:rFonts w:asciiTheme="majorHAnsi" w:hAnsiTheme="majorHAnsi" w:cstheme="majorHAnsi"/>
        </w:rPr>
        <w:t>dans le DPI</w:t>
      </w:r>
      <w:r w:rsidR="00D356F2" w:rsidRPr="00CE17D7">
        <w:rPr>
          <w:rFonts w:asciiTheme="majorHAnsi" w:hAnsiTheme="majorHAnsi" w:cstheme="majorHAnsi"/>
        </w:rPr>
        <w:t xml:space="preserve"> </w:t>
      </w:r>
      <w:r w:rsidRPr="00CE17D7">
        <w:rPr>
          <w:rFonts w:asciiTheme="majorHAnsi" w:hAnsiTheme="majorHAnsi" w:cstheme="majorHAnsi"/>
        </w:rPr>
        <w:t xml:space="preserve">par l’IDE dans Formulaires / TRANSFUSION </w:t>
      </w:r>
    </w:p>
    <w:p w:rsidR="00CE17D7" w:rsidRPr="00CE17D7" w:rsidRDefault="00CE17D7" w:rsidP="00CE17D7">
      <w:pPr>
        <w:spacing w:after="0" w:line="240" w:lineRule="auto"/>
        <w:ind w:left="720"/>
        <w:contextualSpacing/>
        <w:jc w:val="both"/>
        <w:rPr>
          <w:rFonts w:asciiTheme="majorHAnsi" w:hAnsiTheme="majorHAnsi" w:cstheme="majorHAnsi"/>
        </w:rPr>
      </w:pPr>
    </w:p>
    <w:p w:rsidR="00CE17D7" w:rsidRPr="00CE17D7" w:rsidRDefault="00CE17D7" w:rsidP="00CE17D7">
      <w:pPr>
        <w:numPr>
          <w:ilvl w:val="0"/>
          <w:numId w:val="33"/>
        </w:numPr>
        <w:spacing w:after="0" w:line="240" w:lineRule="auto"/>
        <w:contextualSpacing/>
        <w:jc w:val="both"/>
        <w:rPr>
          <w:rFonts w:asciiTheme="majorHAnsi" w:hAnsiTheme="majorHAnsi" w:cstheme="majorHAnsi"/>
        </w:rPr>
      </w:pPr>
      <w:r w:rsidRPr="00CE17D7">
        <w:rPr>
          <w:rFonts w:asciiTheme="majorHAnsi" w:hAnsiTheme="majorHAnsi" w:cstheme="majorHAnsi"/>
        </w:rPr>
        <w:t xml:space="preserve">La feuille de surveillance de l’acte transfusionnel complétée directement </w:t>
      </w:r>
      <w:r w:rsidR="00D356F2">
        <w:rPr>
          <w:rFonts w:asciiTheme="majorHAnsi" w:hAnsiTheme="majorHAnsi" w:cstheme="majorHAnsi"/>
        </w:rPr>
        <w:t>dans le DPI</w:t>
      </w:r>
      <w:r w:rsidR="00D356F2" w:rsidRPr="00CE17D7">
        <w:rPr>
          <w:rFonts w:asciiTheme="majorHAnsi" w:hAnsiTheme="majorHAnsi" w:cstheme="majorHAnsi"/>
        </w:rPr>
        <w:t xml:space="preserve"> </w:t>
      </w:r>
      <w:r w:rsidRPr="00CE17D7">
        <w:rPr>
          <w:rFonts w:asciiTheme="majorHAnsi" w:hAnsiTheme="majorHAnsi" w:cstheme="majorHAnsi"/>
        </w:rPr>
        <w:t xml:space="preserve">par l’IDE dans Formulaires / TRANSFUSION </w:t>
      </w:r>
    </w:p>
    <w:p w:rsidR="00CE17D7" w:rsidRPr="00CE17D7" w:rsidRDefault="00CE17D7" w:rsidP="00CE17D7">
      <w:pPr>
        <w:spacing w:after="0" w:line="240" w:lineRule="auto"/>
        <w:ind w:left="720"/>
        <w:contextualSpacing/>
        <w:jc w:val="both"/>
        <w:rPr>
          <w:rFonts w:asciiTheme="majorHAnsi" w:hAnsiTheme="majorHAnsi" w:cstheme="majorHAnsi"/>
        </w:rPr>
      </w:pPr>
    </w:p>
    <w:p w:rsidR="00CE17D7" w:rsidRPr="00CE17D7" w:rsidRDefault="00CE17D7" w:rsidP="00CE17D7">
      <w:pPr>
        <w:numPr>
          <w:ilvl w:val="0"/>
          <w:numId w:val="33"/>
        </w:numPr>
        <w:spacing w:after="0" w:line="240" w:lineRule="auto"/>
        <w:contextualSpacing/>
        <w:jc w:val="both"/>
        <w:rPr>
          <w:rFonts w:asciiTheme="majorHAnsi" w:hAnsiTheme="majorHAnsi" w:cstheme="majorHAnsi"/>
        </w:rPr>
      </w:pPr>
      <w:r w:rsidRPr="00CE17D7">
        <w:rPr>
          <w:rFonts w:asciiTheme="majorHAnsi" w:hAnsiTheme="majorHAnsi" w:cstheme="majorHAnsi"/>
        </w:rPr>
        <w:t>Les Résultats de la RAI pré et post transfusionnelle /</w:t>
      </w:r>
      <w:proofErr w:type="spellStart"/>
      <w:r w:rsidRPr="00CE17D7">
        <w:rPr>
          <w:rFonts w:asciiTheme="majorHAnsi" w:hAnsiTheme="majorHAnsi" w:cstheme="majorHAnsi"/>
        </w:rPr>
        <w:t>Ferritinémies</w:t>
      </w:r>
      <w:proofErr w:type="spellEnd"/>
      <w:r w:rsidRPr="00CE17D7">
        <w:rPr>
          <w:rFonts w:asciiTheme="majorHAnsi" w:hAnsiTheme="majorHAnsi" w:cstheme="majorHAnsi"/>
        </w:rPr>
        <w:t xml:space="preserve"> post transfusionnelle si nécessaire seront rattachées </w:t>
      </w:r>
      <w:r w:rsidR="00D356F2">
        <w:rPr>
          <w:rFonts w:asciiTheme="majorHAnsi" w:hAnsiTheme="majorHAnsi" w:cstheme="majorHAnsi"/>
        </w:rPr>
        <w:t>dans le DPI</w:t>
      </w:r>
      <w:r w:rsidR="00D356F2" w:rsidRPr="00CE17D7">
        <w:rPr>
          <w:rFonts w:asciiTheme="majorHAnsi" w:hAnsiTheme="majorHAnsi" w:cstheme="majorHAnsi"/>
        </w:rPr>
        <w:t xml:space="preserve"> </w:t>
      </w:r>
      <w:r w:rsidRPr="00CE17D7">
        <w:rPr>
          <w:rFonts w:asciiTheme="majorHAnsi" w:hAnsiTheme="majorHAnsi" w:cstheme="majorHAnsi"/>
        </w:rPr>
        <w:t>par le secrétariat dans Doc numérisés / TRANSFUSION</w:t>
      </w:r>
    </w:p>
    <w:p w:rsidR="00CE17D7" w:rsidRPr="00CE17D7" w:rsidRDefault="00CE17D7" w:rsidP="00CE17D7">
      <w:pPr>
        <w:spacing w:after="0" w:line="240" w:lineRule="auto"/>
        <w:contextualSpacing/>
        <w:jc w:val="both"/>
        <w:rPr>
          <w:rFonts w:asciiTheme="majorHAnsi" w:hAnsiTheme="majorHAnsi" w:cstheme="majorHAnsi"/>
        </w:rPr>
      </w:pPr>
    </w:p>
    <w:p w:rsidR="00CE17D7" w:rsidRPr="00CE17D7" w:rsidRDefault="00CE17D7" w:rsidP="00CE17D7">
      <w:pPr>
        <w:numPr>
          <w:ilvl w:val="0"/>
          <w:numId w:val="33"/>
        </w:numPr>
        <w:spacing w:after="0" w:line="240" w:lineRule="auto"/>
        <w:contextualSpacing/>
        <w:jc w:val="both"/>
        <w:rPr>
          <w:rFonts w:asciiTheme="majorHAnsi" w:hAnsiTheme="majorHAnsi" w:cstheme="majorHAnsi"/>
        </w:rPr>
      </w:pPr>
      <w:r w:rsidRPr="00CE17D7">
        <w:rPr>
          <w:rFonts w:asciiTheme="majorHAnsi" w:hAnsiTheme="majorHAnsi" w:cstheme="majorHAnsi"/>
        </w:rPr>
        <w:t xml:space="preserve">Les FEIR et FIG si nécessaire seront rattachées </w:t>
      </w:r>
      <w:r w:rsidR="00D356F2">
        <w:rPr>
          <w:rFonts w:asciiTheme="majorHAnsi" w:hAnsiTheme="majorHAnsi" w:cstheme="majorHAnsi"/>
        </w:rPr>
        <w:t>dans le DPI</w:t>
      </w:r>
      <w:r w:rsidR="00D356F2" w:rsidRPr="00CE17D7">
        <w:rPr>
          <w:rFonts w:asciiTheme="majorHAnsi" w:hAnsiTheme="majorHAnsi" w:cstheme="majorHAnsi"/>
        </w:rPr>
        <w:t xml:space="preserve"> </w:t>
      </w:r>
      <w:r w:rsidRPr="00CE17D7">
        <w:rPr>
          <w:rFonts w:asciiTheme="majorHAnsi" w:hAnsiTheme="majorHAnsi" w:cstheme="majorHAnsi"/>
        </w:rPr>
        <w:t xml:space="preserve">par le médecin </w:t>
      </w:r>
      <w:proofErr w:type="spellStart"/>
      <w:r w:rsidRPr="00CE17D7">
        <w:rPr>
          <w:rFonts w:asciiTheme="majorHAnsi" w:hAnsiTheme="majorHAnsi" w:cstheme="majorHAnsi"/>
        </w:rPr>
        <w:t>hémovigilant</w:t>
      </w:r>
      <w:proofErr w:type="spellEnd"/>
      <w:r w:rsidRPr="00CE17D7">
        <w:rPr>
          <w:rFonts w:asciiTheme="majorHAnsi" w:hAnsiTheme="majorHAnsi" w:cstheme="majorHAnsi"/>
        </w:rPr>
        <w:t xml:space="preserve"> dans Doc numérisés / TRANSFUSION</w:t>
      </w:r>
    </w:p>
    <w:p w:rsidR="00CE17D7" w:rsidRPr="00CE17D7" w:rsidRDefault="00CE17D7" w:rsidP="00CE17D7">
      <w:pPr>
        <w:tabs>
          <w:tab w:val="left" w:pos="1313"/>
        </w:tabs>
        <w:spacing w:after="0" w:line="240" w:lineRule="auto"/>
        <w:rPr>
          <w:rFonts w:asciiTheme="majorHAnsi" w:hAnsiTheme="majorHAnsi" w:cstheme="majorHAnsi"/>
          <w:color w:val="FF0000"/>
          <w:lang w:eastAsia="fr-FR"/>
        </w:rPr>
      </w:pPr>
      <w:r w:rsidRPr="00CE17D7">
        <w:rPr>
          <w:rFonts w:asciiTheme="majorHAnsi" w:hAnsiTheme="majorHAnsi" w:cstheme="majorHAnsi"/>
          <w:color w:val="FF0000"/>
          <w:lang w:eastAsia="fr-FR"/>
        </w:rPr>
        <w:tab/>
      </w:r>
    </w:p>
    <w:p w:rsidR="00CE17D7" w:rsidRPr="00CE17D7" w:rsidRDefault="00CE17D7" w:rsidP="000B1F76">
      <w:pPr>
        <w:tabs>
          <w:tab w:val="left" w:pos="1410"/>
        </w:tabs>
        <w:rPr>
          <w:rFonts w:asciiTheme="majorHAnsi" w:hAnsiTheme="majorHAnsi" w:cstheme="majorHAnsi"/>
        </w:rPr>
      </w:pPr>
    </w:p>
    <w:sectPr w:rsidR="00CE17D7" w:rsidRPr="00CE17D7" w:rsidSect="00E01806">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Default="00AB5993" w:rsidP="007F0ADB">
    <w:pPr>
      <w:pStyle w:val="Pieddepage"/>
    </w:pPr>
    <w:r w:rsidRPr="00AB5993">
      <w:rPr>
        <w:rFonts w:ascii="Arial" w:hAnsi="Arial" w:cs="Arial"/>
        <w:i/>
        <w:color w:val="000080"/>
        <w:sz w:val="12"/>
        <w:szCs w:val="16"/>
      </w:rPr>
      <w:t>HVCVL/HAD/TRANSFUSION/HEMOVIGI</w:t>
    </w:r>
    <w:r w:rsidR="00906F2F">
      <w:rPr>
        <w:rFonts w:ascii="Arial" w:hAnsi="Arial" w:cs="Arial"/>
        <w:i/>
        <w:color w:val="000080"/>
        <w:sz w:val="12"/>
        <w:szCs w:val="16"/>
      </w:rPr>
      <w:t>LANCE/SECURITE-TRANSFUSIONNELLE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8C2"/>
    <w:multiLevelType w:val="hybridMultilevel"/>
    <w:tmpl w:val="651C425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54A259F"/>
    <w:multiLevelType w:val="hybridMultilevel"/>
    <w:tmpl w:val="67383778"/>
    <w:lvl w:ilvl="0" w:tplc="F5A691CE">
      <w:numFmt w:val="bullet"/>
      <w:lvlText w:val="-"/>
      <w:lvlJc w:val="left"/>
      <w:pPr>
        <w:ind w:left="1440" w:hanging="360"/>
      </w:pPr>
      <w:rPr>
        <w:rFonts w:ascii="Calibri" w:eastAsia="Times New Roman" w:hAnsi="Calibri" w:cs="Times New Roman" w:hint="default"/>
      </w:rPr>
    </w:lvl>
    <w:lvl w:ilvl="1" w:tplc="040C0003">
      <w:start w:val="1"/>
      <w:numFmt w:val="bullet"/>
      <w:lvlText w:val="o"/>
      <w:lvlJc w:val="left"/>
      <w:pPr>
        <w:ind w:left="2160" w:hanging="360"/>
      </w:pPr>
      <w:rPr>
        <w:rFonts w:ascii="Courier New" w:hAnsi="Courier New" w:cs="Courier New" w:hint="default"/>
      </w:rPr>
    </w:lvl>
    <w:lvl w:ilvl="2" w:tplc="F5A691CE">
      <w:numFmt w:val="bullet"/>
      <w:lvlText w:val="-"/>
      <w:lvlJc w:val="left"/>
      <w:pPr>
        <w:ind w:left="2880" w:hanging="360"/>
      </w:pPr>
      <w:rPr>
        <w:rFonts w:ascii="Calibri" w:eastAsia="Times New Roman" w:hAnsi="Calibri" w:cs="Times New Roman"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4"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DFC3CA4"/>
    <w:multiLevelType w:val="hybridMultilevel"/>
    <w:tmpl w:val="A6F0D05C"/>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6" w15:restartNumberingAfterBreak="0">
    <w:nsid w:val="112737FF"/>
    <w:multiLevelType w:val="hybridMultilevel"/>
    <w:tmpl w:val="4AF87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320836"/>
    <w:multiLevelType w:val="hybridMultilevel"/>
    <w:tmpl w:val="D1A8BD5C"/>
    <w:lvl w:ilvl="0" w:tplc="BBD0B24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9" w15:restartNumberingAfterBreak="0">
    <w:nsid w:val="184309D6"/>
    <w:multiLevelType w:val="hybridMultilevel"/>
    <w:tmpl w:val="76480C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11" w15:restartNumberingAfterBreak="0">
    <w:nsid w:val="19A34889"/>
    <w:multiLevelType w:val="hybridMultilevel"/>
    <w:tmpl w:val="D17E5B68"/>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12"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13"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16" w15:restartNumberingAfterBreak="0">
    <w:nsid w:val="307A004E"/>
    <w:multiLevelType w:val="hybridMultilevel"/>
    <w:tmpl w:val="C76C2E7A"/>
    <w:lvl w:ilvl="0" w:tplc="77BAAF60">
      <w:start w:val="1"/>
      <w:numFmt w:val="bullet"/>
      <w:lvlText w:val="•"/>
      <w:lvlJc w:val="left"/>
      <w:pPr>
        <w:tabs>
          <w:tab w:val="num" w:pos="1440"/>
        </w:tabs>
        <w:ind w:left="1440" w:hanging="360"/>
      </w:pPr>
      <w:rPr>
        <w:rFonts w:ascii="Arial" w:hAnsi="Arial" w:hint="default"/>
      </w:rPr>
    </w:lvl>
    <w:lvl w:ilvl="1" w:tplc="AB26529C">
      <w:start w:val="1"/>
      <w:numFmt w:val="bullet"/>
      <w:lvlText w:val="•"/>
      <w:lvlJc w:val="left"/>
      <w:pPr>
        <w:tabs>
          <w:tab w:val="num" w:pos="2160"/>
        </w:tabs>
        <w:ind w:left="2160" w:hanging="360"/>
      </w:pPr>
      <w:rPr>
        <w:rFonts w:ascii="Arial" w:hAnsi="Arial" w:hint="default"/>
      </w:rPr>
    </w:lvl>
    <w:lvl w:ilvl="2" w:tplc="89AAD874" w:tentative="1">
      <w:start w:val="1"/>
      <w:numFmt w:val="bullet"/>
      <w:lvlText w:val="•"/>
      <w:lvlJc w:val="left"/>
      <w:pPr>
        <w:tabs>
          <w:tab w:val="num" w:pos="2880"/>
        </w:tabs>
        <w:ind w:left="2880" w:hanging="360"/>
      </w:pPr>
      <w:rPr>
        <w:rFonts w:ascii="Arial" w:hAnsi="Arial" w:hint="default"/>
      </w:rPr>
    </w:lvl>
    <w:lvl w:ilvl="3" w:tplc="8DE4EA52" w:tentative="1">
      <w:start w:val="1"/>
      <w:numFmt w:val="bullet"/>
      <w:lvlText w:val="•"/>
      <w:lvlJc w:val="left"/>
      <w:pPr>
        <w:tabs>
          <w:tab w:val="num" w:pos="3600"/>
        </w:tabs>
        <w:ind w:left="3600" w:hanging="360"/>
      </w:pPr>
      <w:rPr>
        <w:rFonts w:ascii="Arial" w:hAnsi="Arial" w:hint="default"/>
      </w:rPr>
    </w:lvl>
    <w:lvl w:ilvl="4" w:tplc="F4B44980" w:tentative="1">
      <w:start w:val="1"/>
      <w:numFmt w:val="bullet"/>
      <w:lvlText w:val="•"/>
      <w:lvlJc w:val="left"/>
      <w:pPr>
        <w:tabs>
          <w:tab w:val="num" w:pos="4320"/>
        </w:tabs>
        <w:ind w:left="4320" w:hanging="360"/>
      </w:pPr>
      <w:rPr>
        <w:rFonts w:ascii="Arial" w:hAnsi="Arial" w:hint="default"/>
      </w:rPr>
    </w:lvl>
    <w:lvl w:ilvl="5" w:tplc="04F6A16C" w:tentative="1">
      <w:start w:val="1"/>
      <w:numFmt w:val="bullet"/>
      <w:lvlText w:val="•"/>
      <w:lvlJc w:val="left"/>
      <w:pPr>
        <w:tabs>
          <w:tab w:val="num" w:pos="5040"/>
        </w:tabs>
        <w:ind w:left="5040" w:hanging="360"/>
      </w:pPr>
      <w:rPr>
        <w:rFonts w:ascii="Arial" w:hAnsi="Arial" w:hint="default"/>
      </w:rPr>
    </w:lvl>
    <w:lvl w:ilvl="6" w:tplc="5C92BB44" w:tentative="1">
      <w:start w:val="1"/>
      <w:numFmt w:val="bullet"/>
      <w:lvlText w:val="•"/>
      <w:lvlJc w:val="left"/>
      <w:pPr>
        <w:tabs>
          <w:tab w:val="num" w:pos="5760"/>
        </w:tabs>
        <w:ind w:left="5760" w:hanging="360"/>
      </w:pPr>
      <w:rPr>
        <w:rFonts w:ascii="Arial" w:hAnsi="Arial" w:hint="default"/>
      </w:rPr>
    </w:lvl>
    <w:lvl w:ilvl="7" w:tplc="B7082728" w:tentative="1">
      <w:start w:val="1"/>
      <w:numFmt w:val="bullet"/>
      <w:lvlText w:val="•"/>
      <w:lvlJc w:val="left"/>
      <w:pPr>
        <w:tabs>
          <w:tab w:val="num" w:pos="6480"/>
        </w:tabs>
        <w:ind w:left="6480" w:hanging="360"/>
      </w:pPr>
      <w:rPr>
        <w:rFonts w:ascii="Arial" w:hAnsi="Arial" w:hint="default"/>
      </w:rPr>
    </w:lvl>
    <w:lvl w:ilvl="8" w:tplc="968624B4" w:tentative="1">
      <w:start w:val="1"/>
      <w:numFmt w:val="bullet"/>
      <w:lvlText w:val="•"/>
      <w:lvlJc w:val="left"/>
      <w:pPr>
        <w:tabs>
          <w:tab w:val="num" w:pos="7200"/>
        </w:tabs>
        <w:ind w:left="7200" w:hanging="360"/>
      </w:pPr>
      <w:rPr>
        <w:rFonts w:ascii="Arial" w:hAnsi="Arial" w:hint="default"/>
      </w:rPr>
    </w:lvl>
  </w:abstractNum>
  <w:abstractNum w:abstractNumId="17"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B90AC0"/>
    <w:multiLevelType w:val="hybridMultilevel"/>
    <w:tmpl w:val="1816565E"/>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42FA3C50"/>
    <w:multiLevelType w:val="hybridMultilevel"/>
    <w:tmpl w:val="FC4A38C8"/>
    <w:lvl w:ilvl="0" w:tplc="F5A691CE">
      <w:numFmt w:val="bullet"/>
      <w:lvlText w:val="-"/>
      <w:lvlJc w:val="left"/>
      <w:pPr>
        <w:ind w:left="1440" w:hanging="360"/>
      </w:pPr>
      <w:rPr>
        <w:rFonts w:ascii="Calibri" w:eastAsia="Times New Roman" w:hAnsi="Calibri"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5"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E424EE"/>
    <w:multiLevelType w:val="hybridMultilevel"/>
    <w:tmpl w:val="191ED3FE"/>
    <w:lvl w:ilvl="0" w:tplc="CED8EBAC">
      <w:start w:val="1"/>
      <w:numFmt w:val="bullet"/>
      <w:lvlText w:val=" "/>
      <w:lvlJc w:val="left"/>
      <w:pPr>
        <w:tabs>
          <w:tab w:val="num" w:pos="720"/>
        </w:tabs>
        <w:ind w:left="720" w:hanging="360"/>
      </w:pPr>
      <w:rPr>
        <w:rFonts w:ascii="Times New Roman" w:hAnsi="Times New Roman" w:hint="default"/>
      </w:rPr>
    </w:lvl>
    <w:lvl w:ilvl="1" w:tplc="C6287A4E">
      <w:numFmt w:val="bullet"/>
      <w:lvlText w:val=" "/>
      <w:lvlJc w:val="left"/>
      <w:pPr>
        <w:tabs>
          <w:tab w:val="num" w:pos="1440"/>
        </w:tabs>
        <w:ind w:left="1440" w:hanging="360"/>
      </w:pPr>
      <w:rPr>
        <w:rFonts w:ascii="Times New Roman" w:hAnsi="Times New Roman" w:hint="default"/>
      </w:rPr>
    </w:lvl>
    <w:lvl w:ilvl="2" w:tplc="DA3AA458">
      <w:numFmt w:val="bullet"/>
      <w:lvlText w:val="-"/>
      <w:lvlJc w:val="left"/>
      <w:pPr>
        <w:tabs>
          <w:tab w:val="num" w:pos="2160"/>
        </w:tabs>
        <w:ind w:left="2160" w:hanging="360"/>
      </w:pPr>
      <w:rPr>
        <w:rFonts w:ascii="Calibri" w:eastAsiaTheme="minorEastAsia" w:hAnsi="Calibri" w:cstheme="minorBidi" w:hint="default"/>
        <w:color w:val="000000" w:themeColor="text1"/>
        <w:sz w:val="24"/>
      </w:rPr>
    </w:lvl>
    <w:lvl w:ilvl="3" w:tplc="A2A6650E" w:tentative="1">
      <w:start w:val="1"/>
      <w:numFmt w:val="bullet"/>
      <w:lvlText w:val=" "/>
      <w:lvlJc w:val="left"/>
      <w:pPr>
        <w:tabs>
          <w:tab w:val="num" w:pos="2880"/>
        </w:tabs>
        <w:ind w:left="2880" w:hanging="360"/>
      </w:pPr>
      <w:rPr>
        <w:rFonts w:ascii="Times New Roman" w:hAnsi="Times New Roman" w:hint="default"/>
      </w:rPr>
    </w:lvl>
    <w:lvl w:ilvl="4" w:tplc="23E8FC0A" w:tentative="1">
      <w:start w:val="1"/>
      <w:numFmt w:val="bullet"/>
      <w:lvlText w:val=" "/>
      <w:lvlJc w:val="left"/>
      <w:pPr>
        <w:tabs>
          <w:tab w:val="num" w:pos="3600"/>
        </w:tabs>
        <w:ind w:left="3600" w:hanging="360"/>
      </w:pPr>
      <w:rPr>
        <w:rFonts w:ascii="Times New Roman" w:hAnsi="Times New Roman" w:hint="default"/>
      </w:rPr>
    </w:lvl>
    <w:lvl w:ilvl="5" w:tplc="A60E0FDC" w:tentative="1">
      <w:start w:val="1"/>
      <w:numFmt w:val="bullet"/>
      <w:lvlText w:val=" "/>
      <w:lvlJc w:val="left"/>
      <w:pPr>
        <w:tabs>
          <w:tab w:val="num" w:pos="4320"/>
        </w:tabs>
        <w:ind w:left="4320" w:hanging="360"/>
      </w:pPr>
      <w:rPr>
        <w:rFonts w:ascii="Times New Roman" w:hAnsi="Times New Roman" w:hint="default"/>
      </w:rPr>
    </w:lvl>
    <w:lvl w:ilvl="6" w:tplc="E63E79C0" w:tentative="1">
      <w:start w:val="1"/>
      <w:numFmt w:val="bullet"/>
      <w:lvlText w:val=" "/>
      <w:lvlJc w:val="left"/>
      <w:pPr>
        <w:tabs>
          <w:tab w:val="num" w:pos="5040"/>
        </w:tabs>
        <w:ind w:left="5040" w:hanging="360"/>
      </w:pPr>
      <w:rPr>
        <w:rFonts w:ascii="Times New Roman" w:hAnsi="Times New Roman" w:hint="default"/>
      </w:rPr>
    </w:lvl>
    <w:lvl w:ilvl="7" w:tplc="3E4C34AA" w:tentative="1">
      <w:start w:val="1"/>
      <w:numFmt w:val="bullet"/>
      <w:lvlText w:val=" "/>
      <w:lvlJc w:val="left"/>
      <w:pPr>
        <w:tabs>
          <w:tab w:val="num" w:pos="5760"/>
        </w:tabs>
        <w:ind w:left="5760" w:hanging="360"/>
      </w:pPr>
      <w:rPr>
        <w:rFonts w:ascii="Times New Roman" w:hAnsi="Times New Roman" w:hint="default"/>
      </w:rPr>
    </w:lvl>
    <w:lvl w:ilvl="8" w:tplc="E83CC654" w:tentative="1">
      <w:start w:val="1"/>
      <w:numFmt w:val="bullet"/>
      <w:lvlText w:val=" "/>
      <w:lvlJc w:val="left"/>
      <w:pPr>
        <w:tabs>
          <w:tab w:val="num" w:pos="6480"/>
        </w:tabs>
        <w:ind w:left="6480" w:hanging="360"/>
      </w:pPr>
      <w:rPr>
        <w:rFonts w:ascii="Times New Roman" w:hAnsi="Times New Roman" w:hint="default"/>
      </w:rPr>
    </w:lvl>
  </w:abstractNum>
  <w:abstractNum w:abstractNumId="28"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30" w15:restartNumberingAfterBreak="0">
    <w:nsid w:val="6A2F6D99"/>
    <w:multiLevelType w:val="hybridMultilevel"/>
    <w:tmpl w:val="BF801D40"/>
    <w:lvl w:ilvl="0" w:tplc="040C0003">
      <w:start w:val="1"/>
      <w:numFmt w:val="bullet"/>
      <w:lvlText w:val="o"/>
      <w:lvlJc w:val="left"/>
      <w:pPr>
        <w:ind w:left="2160" w:hanging="360"/>
      </w:pPr>
      <w:rPr>
        <w:rFonts w:ascii="Courier New" w:hAnsi="Courier New" w:cs="Courier New"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1"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996011"/>
    <w:multiLevelType w:val="hybridMultilevel"/>
    <w:tmpl w:val="62A84CCE"/>
    <w:lvl w:ilvl="0" w:tplc="F5A691C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35"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31"/>
  </w:num>
  <w:num w:numId="4">
    <w:abstractNumId w:val="25"/>
  </w:num>
  <w:num w:numId="5">
    <w:abstractNumId w:val="28"/>
  </w:num>
  <w:num w:numId="6">
    <w:abstractNumId w:val="4"/>
  </w:num>
  <w:num w:numId="7">
    <w:abstractNumId w:val="17"/>
  </w:num>
  <w:num w:numId="8">
    <w:abstractNumId w:val="14"/>
  </w:num>
  <w:num w:numId="9">
    <w:abstractNumId w:val="26"/>
  </w:num>
  <w:num w:numId="10">
    <w:abstractNumId w:val="8"/>
  </w:num>
  <w:num w:numId="11">
    <w:abstractNumId w:val="11"/>
  </w:num>
  <w:num w:numId="12">
    <w:abstractNumId w:val="24"/>
  </w:num>
  <w:num w:numId="13">
    <w:abstractNumId w:val="5"/>
  </w:num>
  <w:num w:numId="14">
    <w:abstractNumId w:val="21"/>
  </w:num>
  <w:num w:numId="15">
    <w:abstractNumId w:val="35"/>
  </w:num>
  <w:num w:numId="16">
    <w:abstractNumId w:val="22"/>
  </w:num>
  <w:num w:numId="17">
    <w:abstractNumId w:val="13"/>
  </w:num>
  <w:num w:numId="18">
    <w:abstractNumId w:val="10"/>
  </w:num>
  <w:num w:numId="19">
    <w:abstractNumId w:val="29"/>
  </w:num>
  <w:num w:numId="20">
    <w:abstractNumId w:val="32"/>
  </w:num>
  <w:num w:numId="21">
    <w:abstractNumId w:val="3"/>
  </w:num>
  <w:num w:numId="22">
    <w:abstractNumId w:val="18"/>
  </w:num>
  <w:num w:numId="23">
    <w:abstractNumId w:val="34"/>
  </w:num>
  <w:num w:numId="24">
    <w:abstractNumId w:val="12"/>
  </w:num>
  <w:num w:numId="25">
    <w:abstractNumId w:val="27"/>
  </w:num>
  <w:num w:numId="26">
    <w:abstractNumId w:val="0"/>
  </w:num>
  <w:num w:numId="27">
    <w:abstractNumId w:val="16"/>
  </w:num>
  <w:num w:numId="28">
    <w:abstractNumId w:val="19"/>
  </w:num>
  <w:num w:numId="29">
    <w:abstractNumId w:val="1"/>
  </w:num>
  <w:num w:numId="30">
    <w:abstractNumId w:val="20"/>
  </w:num>
  <w:num w:numId="31">
    <w:abstractNumId w:val="33"/>
  </w:num>
  <w:num w:numId="32">
    <w:abstractNumId w:val="30"/>
  </w:num>
  <w:num w:numId="33">
    <w:abstractNumId w:val="7"/>
  </w:num>
  <w:num w:numId="34">
    <w:abstractNumId w:val="6"/>
  </w:num>
  <w:num w:numId="35">
    <w:abstractNumId w:val="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453D"/>
    <w:rsid w:val="0009770D"/>
    <w:rsid w:val="000B1F76"/>
    <w:rsid w:val="000B7276"/>
    <w:rsid w:val="0014394F"/>
    <w:rsid w:val="00186CD5"/>
    <w:rsid w:val="001F6AB9"/>
    <w:rsid w:val="0025104A"/>
    <w:rsid w:val="00273F0A"/>
    <w:rsid w:val="0029033F"/>
    <w:rsid w:val="002A07E7"/>
    <w:rsid w:val="002C1192"/>
    <w:rsid w:val="0033287C"/>
    <w:rsid w:val="0034566B"/>
    <w:rsid w:val="00366B89"/>
    <w:rsid w:val="003F109A"/>
    <w:rsid w:val="004000E2"/>
    <w:rsid w:val="00470594"/>
    <w:rsid w:val="00526625"/>
    <w:rsid w:val="00554F14"/>
    <w:rsid w:val="005B050B"/>
    <w:rsid w:val="0061450D"/>
    <w:rsid w:val="006754D0"/>
    <w:rsid w:val="006B4A2F"/>
    <w:rsid w:val="006D0FDE"/>
    <w:rsid w:val="00734F1B"/>
    <w:rsid w:val="007363EB"/>
    <w:rsid w:val="007C1278"/>
    <w:rsid w:val="007F0ADB"/>
    <w:rsid w:val="008F0DC7"/>
    <w:rsid w:val="00906F2F"/>
    <w:rsid w:val="00936547"/>
    <w:rsid w:val="00982855"/>
    <w:rsid w:val="009E7C8D"/>
    <w:rsid w:val="009F1778"/>
    <w:rsid w:val="00A80F10"/>
    <w:rsid w:val="00A84185"/>
    <w:rsid w:val="00AB5993"/>
    <w:rsid w:val="00B432ED"/>
    <w:rsid w:val="00B7265B"/>
    <w:rsid w:val="00BC63D7"/>
    <w:rsid w:val="00C1319D"/>
    <w:rsid w:val="00C331EA"/>
    <w:rsid w:val="00C80EFE"/>
    <w:rsid w:val="00CA2275"/>
    <w:rsid w:val="00CE17D7"/>
    <w:rsid w:val="00CE47D1"/>
    <w:rsid w:val="00D0718D"/>
    <w:rsid w:val="00D34273"/>
    <w:rsid w:val="00D356F2"/>
    <w:rsid w:val="00D806C2"/>
    <w:rsid w:val="00DC36D8"/>
    <w:rsid w:val="00E01806"/>
    <w:rsid w:val="00E2356D"/>
    <w:rsid w:val="00E365BE"/>
    <w:rsid w:val="00E71160"/>
    <w:rsid w:val="00E73FF9"/>
    <w:rsid w:val="00E77183"/>
    <w:rsid w:val="00F3500B"/>
    <w:rsid w:val="00F51D5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1D5BD4"/>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9F1778"/>
    <w:pPr>
      <w:keepNext/>
      <w:spacing w:after="0" w:line="240" w:lineRule="auto"/>
      <w:outlineLvl w:val="0"/>
    </w:pPr>
    <w:rPr>
      <w:rFonts w:ascii="Gill Sans MT" w:eastAsia="Arial Unicode MS" w:hAnsi="Gill Sans MT" w:cs="Arial Unicode MS"/>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rsid w:val="009F1778"/>
    <w:rPr>
      <w:rFonts w:ascii="Gill Sans MT" w:eastAsia="Arial Unicode MS" w:hAnsi="Gill Sans MT" w:cs="Arial Unicode MS"/>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10</Pages>
  <Words>2482</Words>
  <Characters>13652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33</cp:revision>
  <dcterms:created xsi:type="dcterms:W3CDTF">2020-10-16T12:52:00Z</dcterms:created>
  <dcterms:modified xsi:type="dcterms:W3CDTF">2022-01-04T09:54:00Z</dcterms:modified>
</cp:coreProperties>
</file>