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A2275" w:rsidP="009F1778">
            <w:r>
              <w:rPr>
                <w:sz w:val="24"/>
              </w:rPr>
              <w:t>HVCVL/HAD/TRANSFUSION/</w:t>
            </w:r>
            <w:r w:rsidR="009F1778">
              <w:rPr>
                <w:sz w:val="24"/>
              </w:rPr>
              <w:t>CONTROLE-ULTIME-PRE-TRANSFUSIONNEL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CA2275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A2275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CA2275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9F1778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Contrôle ultime pré transfusionnel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9F1778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Contrôle ultime pré transfusionnel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9F1778" w:rsidRDefault="009F1778" w:rsidP="009F1778">
      <w:pPr>
        <w:pStyle w:val="Paragraphedeliste"/>
        <w:numPr>
          <w:ilvl w:val="0"/>
          <w:numId w:val="11"/>
        </w:numPr>
        <w:ind w:left="709"/>
      </w:pPr>
      <w:r w:rsidRPr="009F1778">
        <w:t>Cette procédure a pour objet de définir les modalités de réalisation du con</w:t>
      </w:r>
      <w:r w:rsidR="00F51D5B">
        <w:t>trôle ultime pré transfusionnel</w:t>
      </w:r>
    </w:p>
    <w:p w:rsidR="00470594" w:rsidRDefault="00E77183" w:rsidP="0060465F">
      <w:r w:rsidRPr="00E77183">
        <w:rPr>
          <w:b/>
          <w:i/>
          <w:u w:val="single"/>
        </w:rPr>
        <w:t>Textes de références</w:t>
      </w:r>
      <w:r>
        <w:t> :</w:t>
      </w:r>
    </w:p>
    <w:p w:rsidR="00E06427" w:rsidRDefault="00E06427" w:rsidP="009F1778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BD2A18">
        <w:rPr>
          <w:rFonts w:eastAsia="Times New Roman" w:cs="Arial"/>
          <w:lang w:eastAsia="fr-FR"/>
        </w:rPr>
        <w:t>Instruction N° DGS/PP4/DGOS/PF2/2021/230 du 16 novembre 2021 concernant la réalisation de l’acte transfusionnel</w:t>
      </w:r>
      <w:r>
        <w:t xml:space="preserve"> </w:t>
      </w:r>
    </w:p>
    <w:p w:rsidR="009F1778" w:rsidRDefault="009F1778" w:rsidP="009F1778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>
        <w:t>Décret n°2002-194 du 11 février 2002 relatif aux actes professionnels et à l'exercice de la profession d'infirmier</w:t>
      </w:r>
    </w:p>
    <w:p w:rsidR="00E06427" w:rsidRPr="00C3271F" w:rsidRDefault="00E06427" w:rsidP="00E06427">
      <w:pPr>
        <w:pStyle w:val="Paragraphedeliste"/>
        <w:numPr>
          <w:ilvl w:val="0"/>
          <w:numId w:val="25"/>
        </w:numPr>
        <w:spacing w:after="0" w:line="240" w:lineRule="auto"/>
        <w:ind w:left="709"/>
      </w:pPr>
      <w:r w:rsidRPr="00C3271F">
        <w:rPr>
          <w:rFonts w:cstheme="minorHAnsi"/>
        </w:rPr>
        <w:t>Décision du 10 mars 2020 définissant les principes de bonnes pratiques prévues à l’article 1222-12 du CSP</w:t>
      </w:r>
    </w:p>
    <w:p w:rsidR="00F51D5B" w:rsidRPr="0060465F" w:rsidRDefault="00E06427" w:rsidP="0060465F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8B06CC">
        <w:t xml:space="preserve">Document cadre HAD et transfusion du 20 avril 2018 / SFTS – SFVTT </w:t>
      </w:r>
      <w:r>
        <w:t>–</w:t>
      </w:r>
      <w:r w:rsidRPr="008B06CC">
        <w:t xml:space="preserve"> </w:t>
      </w:r>
      <w:r>
        <w:t>Version actualisée 2021</w:t>
      </w:r>
    </w:p>
    <w:p w:rsidR="00852845" w:rsidRPr="00852845" w:rsidRDefault="00852845" w:rsidP="00852845">
      <w:pPr>
        <w:pStyle w:val="Titre1"/>
        <w:rPr>
          <w:rFonts w:asciiTheme="minorHAnsi" w:hAnsiTheme="minorHAnsi" w:cstheme="minorHAnsi"/>
          <w:i/>
          <w:sz w:val="22"/>
        </w:rPr>
      </w:pPr>
      <w:r w:rsidRPr="00852845">
        <w:rPr>
          <w:rFonts w:asciiTheme="minorHAnsi" w:hAnsiTheme="minorHAnsi" w:cstheme="minorHAnsi"/>
          <w:i/>
          <w:sz w:val="22"/>
          <w:u w:val="single"/>
        </w:rPr>
        <w:t>Document associé</w:t>
      </w:r>
      <w:r w:rsidRPr="00852845">
        <w:rPr>
          <w:rFonts w:asciiTheme="minorHAnsi" w:hAnsiTheme="minorHAnsi" w:cstheme="minorHAnsi"/>
          <w:i/>
          <w:sz w:val="22"/>
          <w:u w:val="single"/>
        </w:rPr>
        <w:t> :</w:t>
      </w:r>
      <w:r w:rsidRPr="00852845">
        <w:rPr>
          <w:rFonts w:asciiTheme="minorHAnsi" w:hAnsiTheme="minorHAnsi" w:cstheme="minorHAnsi"/>
          <w:i/>
          <w:sz w:val="22"/>
        </w:rPr>
        <w:t xml:space="preserve"> </w:t>
      </w:r>
    </w:p>
    <w:p w:rsidR="00852845" w:rsidRPr="00852845" w:rsidRDefault="00852845" w:rsidP="0085284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</w:t>
      </w:r>
      <w:r w:rsidRPr="00852845">
        <w:rPr>
          <w:rFonts w:cstheme="minorHAnsi"/>
          <w:sz w:val="20"/>
          <w:szCs w:val="20"/>
        </w:rPr>
        <w:t xml:space="preserve">HVCVL-HAD-TRANSFUSION-CHECK-LIST-POSE-PSL- </w:t>
      </w:r>
    </w:p>
    <w:p w:rsidR="00852845" w:rsidRPr="00852845" w:rsidRDefault="00852845" w:rsidP="0085284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</w:t>
      </w:r>
      <w:r w:rsidRPr="00852845">
        <w:rPr>
          <w:rFonts w:cstheme="minorHAnsi"/>
          <w:sz w:val="20"/>
          <w:szCs w:val="20"/>
        </w:rPr>
        <w:t>HVCVL-HAD-TRANSFUSION-CONTROLE-COMPATIBILITE-CGR-Contrôle ultime biologique de compatibilité</w:t>
      </w:r>
      <w:proofErr w:type="gramStart"/>
      <w:r w:rsidRPr="0085284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r w:rsidRPr="00852845">
        <w:rPr>
          <w:rFonts w:cstheme="minorHAnsi"/>
          <w:sz w:val="20"/>
          <w:szCs w:val="20"/>
        </w:rPr>
        <w:t>(</w:t>
      </w:r>
      <w:proofErr w:type="gramEnd"/>
      <w:r w:rsidRPr="00852845">
        <w:rPr>
          <w:rFonts w:cstheme="minorHAnsi"/>
          <w:sz w:val="20"/>
          <w:szCs w:val="20"/>
        </w:rPr>
        <w:t xml:space="preserve">AB Test </w:t>
      </w:r>
      <w:proofErr w:type="spellStart"/>
      <w:r w:rsidRPr="00852845">
        <w:rPr>
          <w:rFonts w:cstheme="minorHAnsi"/>
          <w:sz w:val="20"/>
          <w:szCs w:val="20"/>
        </w:rPr>
        <w:t>Card</w:t>
      </w:r>
      <w:proofErr w:type="spellEnd"/>
      <w:r w:rsidRPr="00852845">
        <w:rPr>
          <w:rFonts w:cstheme="minorHAnsi"/>
          <w:sz w:val="20"/>
          <w:szCs w:val="20"/>
        </w:rPr>
        <w:t>)</w:t>
      </w:r>
    </w:p>
    <w:p w:rsidR="00852845" w:rsidRPr="00852845" w:rsidRDefault="00852845" w:rsidP="00852845">
      <w:pPr>
        <w:rPr>
          <w:rFonts w:cstheme="minorHAnsi"/>
          <w:b/>
          <w:i/>
          <w:u w:val="single"/>
        </w:rPr>
      </w:pPr>
      <w:r>
        <w:rPr>
          <w:rFonts w:cstheme="minorHAnsi"/>
          <w:sz w:val="20"/>
          <w:szCs w:val="20"/>
        </w:rPr>
        <w:t xml:space="preserve">             </w:t>
      </w:r>
      <w:r w:rsidRPr="00852845">
        <w:rPr>
          <w:rFonts w:cstheme="minorHAnsi"/>
          <w:sz w:val="20"/>
          <w:szCs w:val="20"/>
        </w:rPr>
        <w:t>HVCVL-HAD-TRANSFUSION-CONTROLE-COMPATIBILITE-CGR-Contrôle ultime biologique de compatibilité (</w:t>
      </w:r>
      <w:proofErr w:type="spellStart"/>
      <w:r w:rsidRPr="00852845">
        <w:rPr>
          <w:rFonts w:cstheme="minorHAnsi"/>
          <w:sz w:val="20"/>
          <w:szCs w:val="20"/>
        </w:rPr>
        <w:t>Safety</w:t>
      </w:r>
      <w:proofErr w:type="spellEnd"/>
      <w:r w:rsidRPr="00852845">
        <w:rPr>
          <w:rFonts w:cstheme="minorHAnsi"/>
          <w:sz w:val="20"/>
          <w:szCs w:val="20"/>
        </w:rPr>
        <w:t xml:space="preserve"> </w:t>
      </w:r>
      <w:proofErr w:type="spellStart"/>
      <w:r w:rsidRPr="00852845">
        <w:rPr>
          <w:rFonts w:cstheme="minorHAnsi"/>
          <w:sz w:val="20"/>
          <w:szCs w:val="20"/>
        </w:rPr>
        <w:t>Card</w:t>
      </w:r>
      <w:proofErr w:type="spellEnd"/>
      <w:r w:rsidRPr="00852845">
        <w:rPr>
          <w:rFonts w:cstheme="minorHAnsi"/>
          <w:sz w:val="20"/>
          <w:szCs w:val="20"/>
        </w:rPr>
        <w:t>)</w:t>
      </w:r>
    </w:p>
    <w:p w:rsidR="00852845" w:rsidRDefault="00852845" w:rsidP="00F51D5B">
      <w:pPr>
        <w:rPr>
          <w:b/>
          <w:i/>
          <w:u w:val="single"/>
        </w:rPr>
      </w:pPr>
    </w:p>
    <w:p w:rsidR="00F51D5B" w:rsidRPr="00F51D5B" w:rsidRDefault="00F51D5B" w:rsidP="00F51D5B">
      <w:pPr>
        <w:rPr>
          <w:b/>
        </w:rPr>
      </w:pPr>
      <w:r w:rsidRPr="00F51D5B">
        <w:rPr>
          <w:b/>
          <w:i/>
          <w:u w:val="single"/>
        </w:rPr>
        <w:t>Définitions et abréviations</w:t>
      </w:r>
      <w:r>
        <w:rPr>
          <w:b/>
        </w:rPr>
        <w:t> :</w:t>
      </w:r>
    </w:p>
    <w:p w:rsidR="00F51D5B" w:rsidRDefault="00F51D5B" w:rsidP="00F51D5B">
      <w:pPr>
        <w:spacing w:after="0"/>
        <w:ind w:left="567"/>
      </w:pPr>
      <w:r w:rsidRPr="00F51D5B">
        <w:rPr>
          <w:b/>
        </w:rPr>
        <w:t xml:space="preserve">CSTH </w:t>
      </w:r>
      <w:r>
        <w:t>: Comité de Sécurité Transfusionnelle et d’Hémovigilance</w:t>
      </w:r>
    </w:p>
    <w:p w:rsidR="00F51D5B" w:rsidRDefault="00F51D5B" w:rsidP="00F51D5B">
      <w:pPr>
        <w:spacing w:after="0"/>
        <w:ind w:left="567"/>
      </w:pPr>
      <w:r w:rsidRPr="00F51D5B">
        <w:rPr>
          <w:b/>
        </w:rPr>
        <w:t xml:space="preserve">FDN </w:t>
      </w:r>
      <w:r>
        <w:t>: Fiche de Délivrance Nominative</w:t>
      </w:r>
    </w:p>
    <w:p w:rsidR="00CA2275" w:rsidRDefault="00F51D5B" w:rsidP="00F51D5B">
      <w:pPr>
        <w:spacing w:after="0"/>
        <w:ind w:left="567"/>
      </w:pPr>
      <w:r w:rsidRPr="00F51D5B">
        <w:rPr>
          <w:b/>
        </w:rPr>
        <w:t>PSL</w:t>
      </w:r>
      <w:r>
        <w:t xml:space="preserve"> : Produit Sanguins Labiles</w:t>
      </w:r>
    </w:p>
    <w:p w:rsidR="00CA2275" w:rsidRDefault="00CA2275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CA2275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852845" w:rsidRPr="00554F14" w:rsidRDefault="00852845" w:rsidP="00852845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F51D5B" w:rsidRPr="00F51D5B" w:rsidRDefault="00F51D5B" w:rsidP="00F51D5B">
      <w:pPr>
        <w:spacing w:after="0"/>
        <w:ind w:left="567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Il est obligatoire pour chaque poche transfusée.</w:t>
      </w: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</w:p>
    <w:p w:rsidR="00F51D5B" w:rsidRPr="00F51D5B" w:rsidRDefault="00F51D5B" w:rsidP="00F51D5B">
      <w:pPr>
        <w:ind w:left="284" w:right="572"/>
        <w:jc w:val="both"/>
        <w:rPr>
          <w:rFonts w:cstheme="minorHAnsi"/>
        </w:rPr>
      </w:pPr>
      <w:r w:rsidRPr="00F51D5B">
        <w:rPr>
          <w:rFonts w:cstheme="minorHAnsi"/>
        </w:rPr>
        <w:t>Il est réalisé obligatoirement au lit du malade par l’IDE habilité et immédiatement avant la pose de chaque poche.</w:t>
      </w:r>
    </w:p>
    <w:p w:rsidR="00F51D5B" w:rsidRDefault="00F51D5B" w:rsidP="00F51D5B">
      <w:pPr>
        <w:ind w:left="567" w:right="572" w:hanging="283"/>
        <w:jc w:val="both"/>
        <w:rPr>
          <w:rFonts w:cstheme="minorHAnsi"/>
          <w:b/>
          <w:i/>
          <w:u w:val="single"/>
        </w:rPr>
      </w:pPr>
      <w:r w:rsidRPr="00F51D5B">
        <w:rPr>
          <w:rFonts w:cstheme="minorHAnsi"/>
          <w:b/>
          <w:i/>
          <w:u w:val="single"/>
        </w:rPr>
        <w:t>Ce contrôle comprend deux étapes :</w:t>
      </w:r>
    </w:p>
    <w:p w:rsidR="00E73FF9" w:rsidRPr="00E73FF9" w:rsidRDefault="00E73FF9" w:rsidP="00E7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fr-FR"/>
        </w:rPr>
      </w:pPr>
      <w:bookmarkStart w:id="0" w:name="_Hlk523405925"/>
      <w:r w:rsidRPr="00E73FF9">
        <w:rPr>
          <w:rFonts w:asciiTheme="majorHAnsi" w:eastAsia="Times New Roman" w:hAnsiTheme="majorHAnsi" w:cstheme="majorHAnsi"/>
          <w:b/>
          <w:sz w:val="24"/>
          <w:szCs w:val="24"/>
          <w:lang w:eastAsia="fr-FR"/>
        </w:rPr>
        <w:t>ETAPE 1 - Contrôle ultime de concordance</w:t>
      </w:r>
    </w:p>
    <w:bookmarkEnd w:id="0"/>
    <w:p w:rsidR="00E73FF9" w:rsidRPr="00F51D5B" w:rsidRDefault="00E73FF9" w:rsidP="00F51D5B">
      <w:pPr>
        <w:ind w:left="993" w:right="572" w:hanging="283"/>
        <w:jc w:val="both"/>
        <w:rPr>
          <w:rFonts w:cstheme="minorHAnsi"/>
        </w:rPr>
      </w:pPr>
    </w:p>
    <w:p w:rsidR="00F51D5B" w:rsidRPr="00F51D5B" w:rsidRDefault="00F51D5B" w:rsidP="00E73FF9">
      <w:pPr>
        <w:ind w:left="142" w:right="572" w:hanging="283"/>
        <w:jc w:val="both"/>
        <w:rPr>
          <w:rFonts w:cstheme="minorHAnsi"/>
        </w:rPr>
      </w:pPr>
      <w:r w:rsidRPr="00E73FF9">
        <w:rPr>
          <w:rFonts w:cstheme="minorHAnsi"/>
          <w:u w:val="single"/>
        </w:rPr>
        <w:t>Vérification de l’identité du receveur</w:t>
      </w:r>
      <w:r w:rsidRPr="00F51D5B">
        <w:rPr>
          <w:rFonts w:cstheme="minorHAnsi"/>
        </w:rPr>
        <w:t xml:space="preserve"> : si possible faire décliner son identité au patient </w:t>
      </w:r>
    </w:p>
    <w:p w:rsidR="00F51D5B" w:rsidRPr="00F51D5B" w:rsidRDefault="00F51D5B" w:rsidP="00E73FF9">
      <w:pPr>
        <w:ind w:left="142" w:right="572" w:hanging="283"/>
        <w:jc w:val="both"/>
        <w:rPr>
          <w:rFonts w:cstheme="minorHAnsi"/>
        </w:rPr>
      </w:pPr>
      <w:r w:rsidRPr="00E73FF9">
        <w:rPr>
          <w:rFonts w:cstheme="minorHAnsi"/>
          <w:u w:val="single"/>
        </w:rPr>
        <w:t>Concordance de l’identité du receveur</w:t>
      </w:r>
      <w:r w:rsidRPr="00F51D5B">
        <w:rPr>
          <w:rFonts w:cstheme="minorHAnsi"/>
        </w:rPr>
        <w:t xml:space="preserve"> avec l’identité tracée sur :</w:t>
      </w:r>
    </w:p>
    <w:p w:rsidR="00F51D5B" w:rsidRPr="00F51D5B" w:rsidRDefault="00F51D5B" w:rsidP="00F51D5B">
      <w:pPr>
        <w:spacing w:after="0"/>
        <w:ind w:left="1134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-</w:t>
      </w:r>
      <w:r w:rsidRPr="00F51D5B">
        <w:rPr>
          <w:rFonts w:cstheme="minorHAnsi"/>
        </w:rPr>
        <w:tab/>
        <w:t>La prescription de PSL</w:t>
      </w:r>
    </w:p>
    <w:p w:rsidR="00F51D5B" w:rsidRPr="00F51D5B" w:rsidRDefault="00F51D5B" w:rsidP="00F51D5B">
      <w:pPr>
        <w:spacing w:after="0"/>
        <w:ind w:left="1134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-</w:t>
      </w:r>
      <w:r w:rsidRPr="00F51D5B">
        <w:rPr>
          <w:rFonts w:cstheme="minorHAnsi"/>
        </w:rPr>
        <w:tab/>
        <w:t>La FDN</w:t>
      </w:r>
    </w:p>
    <w:p w:rsidR="00F51D5B" w:rsidRPr="00F51D5B" w:rsidRDefault="00F51D5B" w:rsidP="00F51D5B">
      <w:pPr>
        <w:spacing w:after="0"/>
        <w:ind w:left="1134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-</w:t>
      </w:r>
      <w:r w:rsidRPr="00F51D5B">
        <w:rPr>
          <w:rFonts w:cstheme="minorHAnsi"/>
        </w:rPr>
        <w:tab/>
        <w:t>Les documents de groupe et de RAI</w:t>
      </w: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</w:p>
    <w:p w:rsidR="00F51D5B" w:rsidRPr="00F51D5B" w:rsidRDefault="00F51D5B" w:rsidP="00E73FF9">
      <w:pPr>
        <w:ind w:left="-142" w:right="572"/>
        <w:jc w:val="both"/>
        <w:rPr>
          <w:rFonts w:cstheme="minorHAnsi"/>
        </w:rPr>
      </w:pPr>
      <w:r w:rsidRPr="00E73FF9">
        <w:rPr>
          <w:rFonts w:cstheme="minorHAnsi"/>
          <w:u w:val="single"/>
        </w:rPr>
        <w:t>Concordance du groupe sanguin</w:t>
      </w:r>
      <w:r w:rsidRPr="00F51D5B">
        <w:rPr>
          <w:rFonts w:cstheme="minorHAnsi"/>
        </w:rPr>
        <w:t xml:space="preserve"> mentionné sur le document de groupage, la FDN et l’étiquette de PSL</w:t>
      </w:r>
    </w:p>
    <w:p w:rsidR="00F51D5B" w:rsidRPr="00F51D5B" w:rsidRDefault="00F51D5B" w:rsidP="00E73FF9">
      <w:pPr>
        <w:ind w:left="-142" w:right="572"/>
        <w:jc w:val="both"/>
        <w:rPr>
          <w:rFonts w:cstheme="minorHAnsi"/>
        </w:rPr>
      </w:pPr>
      <w:r w:rsidRPr="00E73FF9">
        <w:rPr>
          <w:rFonts w:cstheme="minorHAnsi"/>
          <w:u w:val="single"/>
        </w:rPr>
        <w:t>Concordance des données d’identification du PSL</w:t>
      </w:r>
      <w:r w:rsidRPr="00F51D5B">
        <w:rPr>
          <w:rFonts w:cstheme="minorHAnsi"/>
        </w:rPr>
        <w:t xml:space="preserve"> portées sur l’étiquette et sur la FDN (type de PSL, N° d’identification, groupage, qualificatifs)</w:t>
      </w:r>
    </w:p>
    <w:p w:rsidR="00F51D5B" w:rsidRPr="00E73FF9" w:rsidRDefault="00F51D5B" w:rsidP="00E73FF9">
      <w:pPr>
        <w:ind w:left="-284" w:right="572" w:firstLine="142"/>
        <w:jc w:val="both"/>
        <w:rPr>
          <w:rFonts w:cstheme="minorHAnsi"/>
          <w:u w:val="single"/>
        </w:rPr>
      </w:pPr>
      <w:r w:rsidRPr="00E73FF9">
        <w:rPr>
          <w:rFonts w:cstheme="minorHAnsi"/>
          <w:u w:val="single"/>
        </w:rPr>
        <w:t>La date de péremption du PSL</w:t>
      </w:r>
    </w:p>
    <w:p w:rsidR="00F51D5B" w:rsidRDefault="00F51D5B" w:rsidP="00E73FF9">
      <w:pPr>
        <w:ind w:right="572" w:hanging="142"/>
        <w:jc w:val="both"/>
        <w:rPr>
          <w:rFonts w:cstheme="minorHAnsi"/>
        </w:rPr>
      </w:pPr>
      <w:r w:rsidRPr="00E73FF9">
        <w:rPr>
          <w:rFonts w:cstheme="minorHAnsi"/>
          <w:u w:val="single"/>
        </w:rPr>
        <w:t>La conformité des règles transfusionnelles spécifiques au patient</w:t>
      </w:r>
      <w:r w:rsidRPr="00F51D5B">
        <w:rPr>
          <w:rFonts w:cstheme="minorHAnsi"/>
        </w:rPr>
        <w:t xml:space="preserve"> (ou protocoles transfusionnels)</w:t>
      </w:r>
    </w:p>
    <w:p w:rsidR="00E73FF9" w:rsidRPr="00F51D5B" w:rsidRDefault="00E73FF9" w:rsidP="00E73FF9">
      <w:pPr>
        <w:ind w:right="572" w:hanging="142"/>
        <w:jc w:val="both"/>
        <w:rPr>
          <w:rFonts w:cstheme="minorHAnsi"/>
        </w:rPr>
      </w:pPr>
    </w:p>
    <w:p w:rsidR="00E73FF9" w:rsidRPr="00E73FF9" w:rsidRDefault="00E73FF9" w:rsidP="00E7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fr-FR"/>
        </w:rPr>
      </w:pPr>
      <w:r w:rsidRPr="00E73FF9">
        <w:rPr>
          <w:rFonts w:asciiTheme="majorHAnsi" w:eastAsia="Times New Roman" w:hAnsiTheme="majorHAnsi" w:cstheme="majorHAnsi"/>
          <w:b/>
          <w:sz w:val="24"/>
          <w:szCs w:val="24"/>
          <w:lang w:eastAsia="fr-FR"/>
        </w:rPr>
        <w:t>ETAPE 2 - Contrôle ultime de compatibilité</w:t>
      </w:r>
      <w:r w:rsidR="00E06427">
        <w:rPr>
          <w:rFonts w:asciiTheme="majorHAnsi" w:eastAsia="Times New Roman" w:hAnsiTheme="majorHAnsi" w:cstheme="majorHAnsi"/>
          <w:b/>
          <w:sz w:val="24"/>
          <w:szCs w:val="24"/>
          <w:lang w:eastAsia="fr-FR"/>
        </w:rPr>
        <w:t xml:space="preserve"> pour les CGR</w:t>
      </w:r>
    </w:p>
    <w:p w:rsidR="00E73FF9" w:rsidRDefault="00E73FF9" w:rsidP="00F51D5B">
      <w:pPr>
        <w:ind w:left="567" w:right="572" w:hanging="283"/>
        <w:jc w:val="both"/>
        <w:rPr>
          <w:rFonts w:cstheme="minorHAnsi"/>
          <w:b/>
        </w:rPr>
      </w:pP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•</w:t>
      </w:r>
      <w:r w:rsidRPr="00F51D5B">
        <w:rPr>
          <w:rFonts w:cstheme="minorHAnsi"/>
        </w:rPr>
        <w:tab/>
      </w:r>
      <w:r w:rsidRPr="00E73FF9">
        <w:rPr>
          <w:rFonts w:cstheme="minorHAnsi"/>
          <w:b/>
        </w:rPr>
        <w:t>MATERIEL NECESSAIRE</w:t>
      </w:r>
      <w:r w:rsidRPr="00F51D5B">
        <w:rPr>
          <w:rFonts w:cstheme="minorHAnsi"/>
        </w:rPr>
        <w:t xml:space="preserve"> </w:t>
      </w:r>
    </w:p>
    <w:p w:rsidR="00F51D5B" w:rsidRPr="00F51D5B" w:rsidRDefault="00F51D5B" w:rsidP="00F51D5B">
      <w:pPr>
        <w:spacing w:after="0"/>
        <w:ind w:left="1134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-</w:t>
      </w:r>
      <w:r w:rsidRPr="00F51D5B">
        <w:rPr>
          <w:rFonts w:cstheme="minorHAnsi"/>
        </w:rPr>
        <w:tab/>
        <w:t>Matériel pour piqûre au bout du doigt, compresses, antiseptiques, gants...</w:t>
      </w:r>
    </w:p>
    <w:p w:rsidR="00F51D5B" w:rsidRPr="00F51D5B" w:rsidRDefault="00F51D5B" w:rsidP="00F51D5B">
      <w:pPr>
        <w:spacing w:after="0"/>
        <w:ind w:left="1134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-</w:t>
      </w:r>
      <w:r w:rsidRPr="00F51D5B">
        <w:rPr>
          <w:rFonts w:cstheme="minorHAnsi"/>
        </w:rPr>
        <w:tab/>
        <w:t xml:space="preserve">Soluté </w:t>
      </w:r>
      <w:proofErr w:type="spellStart"/>
      <w:r w:rsidRPr="00F51D5B">
        <w:rPr>
          <w:rFonts w:cstheme="minorHAnsi"/>
        </w:rPr>
        <w:t>NaCl</w:t>
      </w:r>
      <w:proofErr w:type="spellEnd"/>
      <w:r w:rsidRPr="00F51D5B">
        <w:rPr>
          <w:rFonts w:cstheme="minorHAnsi"/>
        </w:rPr>
        <w:t xml:space="preserve"> à 0,9 %</w:t>
      </w:r>
    </w:p>
    <w:p w:rsidR="00F51D5B" w:rsidRPr="00F51D5B" w:rsidRDefault="00F51D5B" w:rsidP="00F51D5B">
      <w:pPr>
        <w:spacing w:after="0"/>
        <w:ind w:left="1134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-</w:t>
      </w:r>
      <w:r w:rsidRPr="00F51D5B">
        <w:rPr>
          <w:rFonts w:cstheme="minorHAnsi"/>
        </w:rPr>
        <w:tab/>
        <w:t>Carte de contrôle ultime fournie avec chaque poche de sang</w:t>
      </w:r>
    </w:p>
    <w:p w:rsidR="00F51D5B" w:rsidRPr="00F51D5B" w:rsidRDefault="00F51D5B" w:rsidP="00F51D5B">
      <w:pPr>
        <w:spacing w:after="0"/>
        <w:ind w:left="1134" w:right="572" w:hanging="283"/>
        <w:jc w:val="both"/>
        <w:rPr>
          <w:rFonts w:cstheme="minorHAnsi"/>
        </w:rPr>
      </w:pP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•</w:t>
      </w:r>
      <w:r w:rsidRPr="00F51D5B">
        <w:rPr>
          <w:rFonts w:cstheme="minorHAnsi"/>
        </w:rPr>
        <w:tab/>
      </w:r>
      <w:r w:rsidRPr="00E73FF9">
        <w:rPr>
          <w:rFonts w:cstheme="minorHAnsi"/>
          <w:b/>
        </w:rPr>
        <w:t xml:space="preserve">VERIFIER </w:t>
      </w:r>
    </w:p>
    <w:p w:rsidR="00F51D5B" w:rsidRPr="00F51D5B" w:rsidRDefault="00366B89" w:rsidP="00366B89">
      <w:pPr>
        <w:spacing w:after="0"/>
        <w:ind w:left="1276" w:right="572" w:hanging="425"/>
        <w:jc w:val="both"/>
        <w:rPr>
          <w:rFonts w:cstheme="minorHAnsi"/>
        </w:rPr>
      </w:pPr>
      <w:r>
        <w:rPr>
          <w:rFonts w:cstheme="minorHAnsi"/>
        </w:rPr>
        <w:t xml:space="preserve">-     </w:t>
      </w:r>
      <w:r w:rsidR="00F51D5B" w:rsidRPr="00F51D5B">
        <w:rPr>
          <w:rFonts w:cstheme="minorHAnsi"/>
        </w:rPr>
        <w:t>Les conditions de conservation de la carte et les dates de péremption des cartes.</w:t>
      </w:r>
    </w:p>
    <w:p w:rsidR="00F51D5B" w:rsidRDefault="00366B89" w:rsidP="00E73FF9">
      <w:pPr>
        <w:spacing w:after="0"/>
        <w:ind w:left="1134" w:right="572" w:hanging="283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51D5B" w:rsidRPr="00F51D5B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F51D5B" w:rsidRPr="00F51D5B">
        <w:rPr>
          <w:rFonts w:cstheme="minorHAnsi"/>
        </w:rPr>
        <w:t>Avant de réaliser l’acte technique, vérifier la date de pérem</w:t>
      </w:r>
      <w:r>
        <w:rPr>
          <w:rFonts w:cstheme="minorHAnsi"/>
        </w:rPr>
        <w:t>ption de la poche et son aspect</w:t>
      </w:r>
    </w:p>
    <w:p w:rsidR="00366B89" w:rsidRPr="00F51D5B" w:rsidRDefault="00366B89" w:rsidP="00366B89">
      <w:pPr>
        <w:spacing w:after="0"/>
        <w:ind w:left="1276" w:right="572" w:hanging="425"/>
        <w:jc w:val="both"/>
        <w:rPr>
          <w:rFonts w:cstheme="minorHAnsi"/>
        </w:rPr>
      </w:pPr>
    </w:p>
    <w:p w:rsidR="00F51D5B" w:rsidRPr="00366B89" w:rsidRDefault="0060465F" w:rsidP="00E73FF9">
      <w:pPr>
        <w:spacing w:after="0"/>
        <w:ind w:left="567" w:right="572" w:hanging="283"/>
        <w:jc w:val="center"/>
        <w:rPr>
          <w:rFonts w:cstheme="minorHAnsi"/>
          <w:b/>
        </w:rPr>
      </w:pPr>
      <w:r>
        <w:rPr>
          <w:rFonts w:cstheme="minorHAnsi"/>
          <w:b/>
        </w:rPr>
        <w:t>Acte technique v</w:t>
      </w:r>
      <w:r w:rsidR="00F51D5B" w:rsidRPr="00E06427">
        <w:rPr>
          <w:rFonts w:cstheme="minorHAnsi"/>
          <w:b/>
        </w:rPr>
        <w:t xml:space="preserve">ariable en fonction du dispositif qui est utilisé </w:t>
      </w:r>
      <w:r w:rsidR="00922079">
        <w:rPr>
          <w:rFonts w:cstheme="minorHAnsi"/>
          <w:b/>
        </w:rPr>
        <w:t>(CF fiche technique)</w:t>
      </w: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</w:p>
    <w:p w:rsidR="002C1192" w:rsidRPr="00F51D5B" w:rsidRDefault="002C1192" w:rsidP="00F51D5B">
      <w:pPr>
        <w:ind w:left="567" w:right="572" w:hanging="283"/>
        <w:jc w:val="both"/>
        <w:rPr>
          <w:rFonts w:cstheme="minorHAnsi"/>
        </w:rPr>
      </w:pPr>
    </w:p>
    <w:p w:rsidR="00F51D5B" w:rsidRPr="002C1192" w:rsidRDefault="00F51D5B" w:rsidP="002C1192">
      <w:pPr>
        <w:ind w:left="567" w:right="572" w:hanging="283"/>
        <w:jc w:val="center"/>
        <w:rPr>
          <w:rFonts w:cstheme="minorHAnsi"/>
          <w:b/>
        </w:rPr>
      </w:pPr>
      <w:r w:rsidRPr="002C1192">
        <w:rPr>
          <w:rFonts w:cstheme="minorHAnsi"/>
          <w:b/>
        </w:rPr>
        <w:t>CONSERVATION DE LA CARTE</w:t>
      </w: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  <w:r w:rsidRPr="00F51D5B">
        <w:rPr>
          <w:rFonts w:cstheme="minorHAnsi"/>
        </w:rPr>
        <w:t xml:space="preserve">Conserver </w:t>
      </w:r>
      <w:r w:rsidRPr="00922079">
        <w:rPr>
          <w:rFonts w:cstheme="minorHAnsi"/>
        </w:rPr>
        <w:t>la carte 4 heures</w:t>
      </w:r>
      <w:r w:rsidRPr="00F51D5B">
        <w:rPr>
          <w:rFonts w:cstheme="minorHAnsi"/>
        </w:rPr>
        <w:t xml:space="preserve"> comme les poches de PSL et la tubulure, puis tout jeter.</w:t>
      </w: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</w:p>
    <w:p w:rsidR="00F51D5B" w:rsidRPr="00852845" w:rsidRDefault="00F51D5B" w:rsidP="00F51D5B">
      <w:pPr>
        <w:ind w:left="567" w:right="572" w:hanging="283"/>
        <w:jc w:val="both"/>
        <w:rPr>
          <w:rFonts w:cstheme="minorHAnsi"/>
          <w:b/>
          <w:i/>
          <w:u w:val="single"/>
        </w:rPr>
      </w:pPr>
      <w:r w:rsidRPr="00852845">
        <w:rPr>
          <w:rFonts w:cstheme="minorHAnsi"/>
          <w:b/>
          <w:i/>
          <w:u w:val="single"/>
        </w:rPr>
        <w:t>E</w:t>
      </w:r>
      <w:r w:rsidR="00852845" w:rsidRPr="00852845">
        <w:rPr>
          <w:rFonts w:cstheme="minorHAnsi"/>
          <w:b/>
          <w:i/>
          <w:u w:val="single"/>
        </w:rPr>
        <w:t>valuation :</w:t>
      </w:r>
      <w:bookmarkStart w:id="1" w:name="_GoBack"/>
      <w:bookmarkEnd w:id="1"/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  <w:r w:rsidRPr="00F51D5B">
        <w:rPr>
          <w:rFonts w:cstheme="minorHAnsi"/>
        </w:rPr>
        <w:t>Bilan annuel d’activité du CSTH</w:t>
      </w: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</w:p>
    <w:p w:rsidR="00F51D5B" w:rsidRPr="00F51D5B" w:rsidRDefault="00F51D5B" w:rsidP="00F51D5B">
      <w:pPr>
        <w:ind w:left="567" w:right="572" w:hanging="283"/>
        <w:jc w:val="both"/>
        <w:rPr>
          <w:rFonts w:cstheme="minorHAnsi"/>
        </w:rPr>
      </w:pPr>
    </w:p>
    <w:p w:rsidR="000B7276" w:rsidRPr="005B6B7C" w:rsidRDefault="000B7276" w:rsidP="000B7276">
      <w:pPr>
        <w:ind w:left="567" w:right="572" w:hanging="283"/>
        <w:jc w:val="both"/>
        <w:rPr>
          <w:rFonts w:cstheme="minorHAnsi"/>
          <w:b/>
        </w:rPr>
      </w:pPr>
    </w:p>
    <w:p w:rsidR="007F0ADB" w:rsidRDefault="000B7276" w:rsidP="000B7276">
      <w:pPr>
        <w:tabs>
          <w:tab w:val="left" w:pos="1277"/>
        </w:tabs>
      </w:pPr>
      <w:r>
        <w:tab/>
      </w:r>
    </w:p>
    <w:p w:rsidR="007F0ADB" w:rsidRPr="007F0ADB" w:rsidRDefault="007F0ADB" w:rsidP="007F0ADB"/>
    <w:p w:rsidR="007F0ADB" w:rsidRDefault="007F0ADB" w:rsidP="007F0ADB"/>
    <w:p w:rsidR="007F0ADB" w:rsidRPr="006D7522" w:rsidRDefault="007F0ADB" w:rsidP="00F51D5B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>
        <w:tab/>
      </w:r>
    </w:p>
    <w:p w:rsidR="000B7276" w:rsidRPr="007F0ADB" w:rsidRDefault="000B7276" w:rsidP="007F0ADB">
      <w:pPr>
        <w:tabs>
          <w:tab w:val="left" w:pos="990"/>
        </w:tabs>
      </w:pPr>
    </w:p>
    <w:sectPr w:rsidR="000B7276" w:rsidRPr="007F0ADB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Default="009F1778" w:rsidP="007F0ADB">
    <w:pPr>
      <w:pStyle w:val="Pieddepage"/>
    </w:pPr>
    <w:r w:rsidRPr="009F1778">
      <w:rPr>
        <w:rFonts w:ascii="Arial" w:hAnsi="Arial" w:cs="Arial"/>
        <w:i/>
        <w:color w:val="000080"/>
        <w:sz w:val="12"/>
        <w:szCs w:val="16"/>
      </w:rPr>
      <w:t>HVCVL/HAD/TRANSFUSION/CONTROLE-ULTIME-PRE-TRANSFUSIONNEL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8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11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7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1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4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7"/>
  </w:num>
  <w:num w:numId="5">
    <w:abstractNumId w:val="19"/>
  </w:num>
  <w:num w:numId="6">
    <w:abstractNumId w:val="2"/>
  </w:num>
  <w:num w:numId="7">
    <w:abstractNumId w:val="11"/>
  </w:num>
  <w:num w:numId="8">
    <w:abstractNumId w:val="9"/>
  </w:num>
  <w:num w:numId="9">
    <w:abstractNumId w:val="18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13"/>
  </w:num>
  <w:num w:numId="15">
    <w:abstractNumId w:val="24"/>
  </w:num>
  <w:num w:numId="16">
    <w:abstractNumId w:val="14"/>
  </w:num>
  <w:num w:numId="17">
    <w:abstractNumId w:val="8"/>
  </w:num>
  <w:num w:numId="18">
    <w:abstractNumId w:val="5"/>
  </w:num>
  <w:num w:numId="19">
    <w:abstractNumId w:val="20"/>
  </w:num>
  <w:num w:numId="20">
    <w:abstractNumId w:val="22"/>
  </w:num>
  <w:num w:numId="21">
    <w:abstractNumId w:val="1"/>
  </w:num>
  <w:num w:numId="22">
    <w:abstractNumId w:val="12"/>
  </w:num>
  <w:num w:numId="23">
    <w:abstractNumId w:val="23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7276"/>
    <w:rsid w:val="0014394F"/>
    <w:rsid w:val="00186CD5"/>
    <w:rsid w:val="001F6AB9"/>
    <w:rsid w:val="0025104A"/>
    <w:rsid w:val="00273F0A"/>
    <w:rsid w:val="0029033F"/>
    <w:rsid w:val="002A07E7"/>
    <w:rsid w:val="002C1192"/>
    <w:rsid w:val="0033287C"/>
    <w:rsid w:val="0034566B"/>
    <w:rsid w:val="00366B89"/>
    <w:rsid w:val="003F109A"/>
    <w:rsid w:val="00470594"/>
    <w:rsid w:val="00526625"/>
    <w:rsid w:val="00554F14"/>
    <w:rsid w:val="005B050B"/>
    <w:rsid w:val="0060465F"/>
    <w:rsid w:val="0061450D"/>
    <w:rsid w:val="006754D0"/>
    <w:rsid w:val="00734F1B"/>
    <w:rsid w:val="007C1278"/>
    <w:rsid w:val="007F0ADB"/>
    <w:rsid w:val="00852845"/>
    <w:rsid w:val="008F0DC7"/>
    <w:rsid w:val="00922079"/>
    <w:rsid w:val="00936547"/>
    <w:rsid w:val="00982855"/>
    <w:rsid w:val="009E7C8D"/>
    <w:rsid w:val="009F1778"/>
    <w:rsid w:val="00A80F10"/>
    <w:rsid w:val="00A84185"/>
    <w:rsid w:val="00B432ED"/>
    <w:rsid w:val="00B7265B"/>
    <w:rsid w:val="00BC63D7"/>
    <w:rsid w:val="00C1319D"/>
    <w:rsid w:val="00C331EA"/>
    <w:rsid w:val="00C80EFE"/>
    <w:rsid w:val="00CA2275"/>
    <w:rsid w:val="00CE47D1"/>
    <w:rsid w:val="00D0718D"/>
    <w:rsid w:val="00D34273"/>
    <w:rsid w:val="00D806C2"/>
    <w:rsid w:val="00DC36D8"/>
    <w:rsid w:val="00E01806"/>
    <w:rsid w:val="00E06427"/>
    <w:rsid w:val="00E2356D"/>
    <w:rsid w:val="00E365BE"/>
    <w:rsid w:val="00E71160"/>
    <w:rsid w:val="00E73FF9"/>
    <w:rsid w:val="00E77183"/>
    <w:rsid w:val="00F3500B"/>
    <w:rsid w:val="00F51D5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03A0B5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F1778"/>
    <w:pPr>
      <w:keepNext/>
      <w:spacing w:after="0" w:line="240" w:lineRule="auto"/>
      <w:outlineLvl w:val="0"/>
    </w:pPr>
    <w:rPr>
      <w:rFonts w:ascii="Gill Sans MT" w:eastAsia="Arial Unicode MS" w:hAnsi="Gill Sans MT" w:cs="Arial Unicode MS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rsid w:val="009F1778"/>
    <w:rPr>
      <w:rFonts w:ascii="Gill Sans MT" w:eastAsia="Arial Unicode MS" w:hAnsi="Gill Sans MT" w:cs="Arial Unicode MS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31</cp:revision>
  <dcterms:created xsi:type="dcterms:W3CDTF">2020-10-16T12:52:00Z</dcterms:created>
  <dcterms:modified xsi:type="dcterms:W3CDTF">2022-01-04T08:58:00Z</dcterms:modified>
</cp:coreProperties>
</file>