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60"/>
        <w:tblW w:w="0" w:type="auto"/>
        <w:tblLook w:val="04A0" w:firstRow="1" w:lastRow="0" w:firstColumn="1" w:lastColumn="0" w:noHBand="0" w:noVBand="1"/>
      </w:tblPr>
      <w:tblGrid>
        <w:gridCol w:w="9062"/>
      </w:tblGrid>
      <w:tr w:rsidR="00273F0A" w:rsidTr="00E77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Default="00116249" w:rsidP="00E77183">
            <w:r>
              <w:rPr>
                <w:sz w:val="24"/>
              </w:rPr>
              <w:t>HVC</w:t>
            </w:r>
            <w:r w:rsidR="00C639D5">
              <w:rPr>
                <w:sz w:val="24"/>
              </w:rPr>
              <w:t>VL/DEPOT/AUTORISATION/</w:t>
            </w:r>
            <w:r>
              <w:rPr>
                <w:sz w:val="24"/>
              </w:rPr>
              <w:t>TRANSFERT-PATIENT-AUTRE-ES</w:t>
            </w:r>
          </w:p>
        </w:tc>
      </w:tr>
      <w:tr w:rsidR="00273F0A"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rédaction : </w:t>
            </w:r>
            <w:r w:rsidR="00554F14">
              <w:rPr>
                <w:b w:val="0"/>
                <w:sz w:val="18"/>
              </w:rPr>
              <w:t>07/2017</w:t>
            </w:r>
          </w:p>
        </w:tc>
      </w:tr>
      <w:tr w:rsidR="00273F0A" w:rsidTr="00E77183">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diffusion : </w:t>
            </w:r>
            <w:r w:rsidR="00116249">
              <w:rPr>
                <w:b w:val="0"/>
                <w:sz w:val="18"/>
              </w:rPr>
              <w:t>25</w:t>
            </w:r>
            <w:r w:rsidR="002A07E7">
              <w:rPr>
                <w:b w:val="0"/>
                <w:sz w:val="18"/>
              </w:rPr>
              <w:t>/11</w:t>
            </w:r>
            <w:r w:rsidRPr="00B432ED">
              <w:rPr>
                <w:b w:val="0"/>
                <w:sz w:val="18"/>
              </w:rPr>
              <w:t>/2020</w:t>
            </w:r>
          </w:p>
        </w:tc>
      </w:tr>
      <w:tr w:rsidR="00FC530B"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C530B" w:rsidRPr="00B432ED" w:rsidRDefault="00FC530B" w:rsidP="00E77183">
            <w:pPr>
              <w:rPr>
                <w:sz w:val="18"/>
              </w:rPr>
            </w:pPr>
            <w:r w:rsidRPr="00B432ED">
              <w:rPr>
                <w:sz w:val="18"/>
              </w:rPr>
              <w:t xml:space="preserve">Version : </w:t>
            </w:r>
            <w:r w:rsidR="00554F14">
              <w:rPr>
                <w:b w:val="0"/>
                <w:sz w:val="18"/>
              </w:rPr>
              <w:t>03</w:t>
            </w:r>
          </w:p>
        </w:tc>
      </w:tr>
    </w:tbl>
    <w:p w:rsidR="00E77183" w:rsidRDefault="00E77183"/>
    <w:p w:rsidR="00E77183" w:rsidRDefault="00E77183"/>
    <w:p w:rsidR="00470594" w:rsidRDefault="00470594"/>
    <w:p w:rsidR="00470594" w:rsidRDefault="00E77183">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104671</wp:posOffset>
                </wp:positionV>
                <wp:extent cx="5745167" cy="292905"/>
                <wp:effectExtent l="0" t="0" r="27305" b="12065"/>
                <wp:wrapNone/>
                <wp:docPr id="3" name="Rectangle 3"/>
                <wp:cNvGraphicFramePr/>
                <a:graphic xmlns:a="http://schemas.openxmlformats.org/drawingml/2006/main">
                  <a:graphicData uri="http://schemas.microsoft.com/office/word/2010/wordprocessingShape">
                    <wps:wsp>
                      <wps:cNvSpPr/>
                      <wps:spPr>
                        <a:xfrm>
                          <a:off x="0" y="0"/>
                          <a:ext cx="5745167" cy="292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30B" w:rsidRPr="00FC530B" w:rsidRDefault="00116249" w:rsidP="00FC530B">
                            <w:pPr>
                              <w:rPr>
                                <w:b/>
                                <w:sz w:val="28"/>
                              </w:rPr>
                            </w:pPr>
                            <w:r>
                              <w:rPr>
                                <w:b/>
                                <w:sz w:val="28"/>
                              </w:rPr>
                              <w:t>Modalités de transfert d’un patient avec ses PSL vers un autre ES</w:t>
                            </w:r>
                            <w:r w:rsidR="00FC530B" w:rsidRPr="00FC530B">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8.25pt;width:452.4pt;height:23.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IhewIAAEQ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" fillcolor="#5b9bd5 [3204]" strokecolor="#1f4d78 [1604]" strokeweight="1pt">
                <v:textbox>
                  <w:txbxContent>
                    <w:p w:rsidR="00FC530B" w:rsidRPr="00FC530B" w:rsidRDefault="00116249" w:rsidP="00FC530B">
                      <w:pPr>
                        <w:rPr>
                          <w:b/>
                          <w:sz w:val="28"/>
                        </w:rPr>
                      </w:pPr>
                      <w:r>
                        <w:rPr>
                          <w:b/>
                          <w:sz w:val="28"/>
                        </w:rPr>
                        <w:t>Modalités de transfert d’un patient avec ses PSL vers un autre ES</w:t>
                      </w:r>
                      <w:r w:rsidR="00FC530B" w:rsidRPr="00FC530B">
                        <w:rPr>
                          <w:b/>
                          <w:sz w:val="28"/>
                        </w:rPr>
                        <w:t xml:space="preserve"> </w:t>
                      </w:r>
                    </w:p>
                  </w:txbxContent>
                </v:textbox>
                <w10:wrap anchorx="margin"/>
              </v:rect>
            </w:pict>
          </mc:Fallback>
        </mc:AlternateContent>
      </w:r>
    </w:p>
    <w:p w:rsidR="00470594" w:rsidRDefault="00470594"/>
    <w:p w:rsidR="00470594" w:rsidRDefault="00470594"/>
    <w:p w:rsidR="00E77183" w:rsidRDefault="00E77183"/>
    <w:p w:rsidR="00470594" w:rsidRPr="00E77183" w:rsidRDefault="00E77183">
      <w:pPr>
        <w:rPr>
          <w:b/>
          <w:i/>
        </w:rPr>
      </w:pPr>
      <w:r w:rsidRPr="00E77183">
        <w:rPr>
          <w:b/>
          <w:i/>
          <w:u w:val="single"/>
        </w:rPr>
        <w:t>Objectifs</w:t>
      </w:r>
      <w:r w:rsidRPr="00E77183">
        <w:rPr>
          <w:b/>
          <w:i/>
        </w:rPr>
        <w:t> :</w:t>
      </w:r>
    </w:p>
    <w:p w:rsidR="00116249" w:rsidRPr="00846F73" w:rsidRDefault="00116249" w:rsidP="00116249">
      <w:pPr>
        <w:pStyle w:val="Paragraphedeliste"/>
        <w:ind w:left="0"/>
        <w:rPr>
          <w:sz w:val="24"/>
        </w:rPr>
      </w:pPr>
      <w:r w:rsidRPr="00846F73">
        <w:t>Description des modalités de transfert d’un patient avec ses PSL vers un autre établissement et mise en place de la traçabilité</w:t>
      </w:r>
    </w:p>
    <w:p w:rsidR="00E77183" w:rsidRDefault="00E77183"/>
    <w:p w:rsidR="0061450D" w:rsidRDefault="0061450D"/>
    <w:p w:rsidR="0061450D" w:rsidRDefault="0061450D"/>
    <w:p w:rsidR="00E77183" w:rsidRDefault="00E77183">
      <w:r w:rsidRPr="00E77183">
        <w:rPr>
          <w:b/>
          <w:i/>
          <w:u w:val="single"/>
        </w:rPr>
        <w:t>Textes de références</w:t>
      </w:r>
      <w:r>
        <w:t> :</w:t>
      </w:r>
    </w:p>
    <w:p w:rsidR="00470594" w:rsidRDefault="00470594"/>
    <w:p w:rsidR="00470594" w:rsidRDefault="00470594"/>
    <w:p w:rsidR="00470594" w:rsidRDefault="00470594"/>
    <w:p w:rsidR="00470594" w:rsidRDefault="00470594"/>
    <w:p w:rsidR="00470594" w:rsidRDefault="00470594"/>
    <w:p w:rsidR="00470594" w:rsidRDefault="00470594"/>
    <w:p w:rsidR="00470594" w:rsidRDefault="00470594"/>
    <w:p w:rsidR="00470594" w:rsidRDefault="00470594"/>
    <w:p w:rsidR="00470594" w:rsidRDefault="00470594">
      <w:bookmarkStart w:id="0" w:name="_GoBack"/>
      <w:bookmarkEnd w:id="0"/>
    </w:p>
    <w:p w:rsidR="00470594" w:rsidRDefault="00470594"/>
    <w:tbl>
      <w:tblPr>
        <w:tblStyle w:val="TableauGrille4-Accentuation1"/>
        <w:tblpPr w:leftFromText="141" w:rightFromText="141" w:vertAnchor="text" w:horzAnchor="margin" w:tblpY="285"/>
        <w:tblW w:w="0" w:type="auto"/>
        <w:tblLook w:val="04A0" w:firstRow="1" w:lastRow="0" w:firstColumn="1" w:lastColumn="0" w:noHBand="0" w:noVBand="1"/>
      </w:tblPr>
      <w:tblGrid>
        <w:gridCol w:w="2972"/>
        <w:gridCol w:w="3119"/>
        <w:gridCol w:w="2971"/>
      </w:tblGrid>
      <w:tr w:rsidR="00E2356D" w:rsidTr="00554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2356D" w:rsidRDefault="00E2356D" w:rsidP="00043281">
            <w:r>
              <w:t>Rédacteur</w:t>
            </w:r>
          </w:p>
        </w:tc>
        <w:tc>
          <w:tcPr>
            <w:tcW w:w="3119"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Vérificateur</w:t>
            </w:r>
          </w:p>
        </w:tc>
        <w:tc>
          <w:tcPr>
            <w:tcW w:w="2971"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Approbateur</w:t>
            </w:r>
          </w:p>
        </w:tc>
      </w:tr>
      <w:tr w:rsidR="00E2356D" w:rsidTr="00554F1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rsidR="00554F14" w:rsidRPr="00F72E1E" w:rsidRDefault="00554F14" w:rsidP="00554F14">
            <w:pPr>
              <w:rPr>
                <w:b w:val="0"/>
                <w:sz w:val="18"/>
              </w:rPr>
            </w:pPr>
            <w:proofErr w:type="spellStart"/>
            <w:proofErr w:type="gramStart"/>
            <w:r w:rsidRPr="00F72E1E">
              <w:rPr>
                <w:sz w:val="18"/>
              </w:rPr>
              <w:t>Dr.SAPEY</w:t>
            </w:r>
            <w:proofErr w:type="spellEnd"/>
            <w:proofErr w:type="gramEnd"/>
          </w:p>
          <w:p w:rsidR="00554F14" w:rsidRPr="00554F14" w:rsidRDefault="00554F14" w:rsidP="00554F14">
            <w:pPr>
              <w:rPr>
                <w:b w:val="0"/>
                <w:sz w:val="16"/>
              </w:rPr>
            </w:pPr>
            <w:r w:rsidRPr="00554F14">
              <w:rPr>
                <w:b w:val="0"/>
                <w:sz w:val="16"/>
              </w:rPr>
              <w:t>Coordonnateur Régional d’Hémovigilance et de Sécurité Transfusionnelle</w:t>
            </w:r>
          </w:p>
          <w:p w:rsidR="00E2356D" w:rsidRPr="00E77183" w:rsidRDefault="00E2356D" w:rsidP="00043281">
            <w:pPr>
              <w:rPr>
                <w:b w:val="0"/>
                <w:sz w:val="18"/>
              </w:rPr>
            </w:pPr>
          </w:p>
        </w:tc>
        <w:tc>
          <w:tcPr>
            <w:tcW w:w="3119"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Default="00E2356D" w:rsidP="00043281">
            <w:pPr>
              <w:cnfStyle w:val="000000100000" w:firstRow="0" w:lastRow="0" w:firstColumn="0" w:lastColumn="0" w:oddVBand="0" w:evenVBand="0" w:oddHBand="1" w:evenHBand="0" w:firstRowFirstColumn="0" w:firstRowLastColumn="0" w:lastRowFirstColumn="0" w:lastRowLastColumn="0"/>
              <w:rPr>
                <w:sz w:val="16"/>
              </w:rPr>
            </w:pPr>
            <w:r w:rsidRPr="00E77183">
              <w:rPr>
                <w:sz w:val="16"/>
              </w:rPr>
              <w:t>Coordonnateur Régional d’Hémovigilance et de Sécurité Transfusionnelle</w:t>
            </w:r>
          </w:p>
          <w:p w:rsidR="00554F14" w:rsidRPr="00554F14"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sidRPr="00554F14">
              <w:rPr>
                <w:b/>
                <w:sz w:val="18"/>
              </w:rPr>
              <w:t>Mme Marjorie BLIN</w:t>
            </w:r>
          </w:p>
          <w:p w:rsidR="00554F14" w:rsidRPr="00F72E1E"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Pr>
                <w:sz w:val="16"/>
              </w:rPr>
              <w:t>Assistante</w:t>
            </w:r>
          </w:p>
        </w:tc>
        <w:tc>
          <w:tcPr>
            <w:tcW w:w="2971"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Pr="00E77183" w:rsidRDefault="00E2356D" w:rsidP="00043281">
            <w:pPr>
              <w:cnfStyle w:val="000000100000" w:firstRow="0" w:lastRow="0" w:firstColumn="0" w:lastColumn="0" w:oddVBand="0" w:evenVBand="0" w:oddHBand="1" w:evenHBand="0" w:firstRowFirstColumn="0" w:firstRowLastColumn="0" w:lastRowFirstColumn="0" w:lastRowLastColumn="0"/>
              <w:rPr>
                <w:sz w:val="18"/>
              </w:rPr>
            </w:pPr>
            <w:r w:rsidRPr="00E77183">
              <w:rPr>
                <w:sz w:val="16"/>
              </w:rPr>
              <w:t>Coordonnateur Régional d’Hémovigilance et de Sécurité Transfusionnelle</w:t>
            </w:r>
          </w:p>
        </w:tc>
      </w:tr>
    </w:tbl>
    <w:p w:rsidR="00470594" w:rsidRDefault="00470594"/>
    <w:p w:rsidR="00470594" w:rsidRDefault="00470594"/>
    <w:p w:rsidR="00116249" w:rsidRPr="00116249" w:rsidRDefault="00116249" w:rsidP="00116249">
      <w:pPr>
        <w:spacing w:after="200" w:line="276" w:lineRule="auto"/>
        <w:rPr>
          <w:b/>
          <w:i/>
          <w:sz w:val="24"/>
          <w:u w:val="single"/>
        </w:rPr>
      </w:pPr>
      <w:r w:rsidRPr="00116249">
        <w:rPr>
          <w:b/>
          <w:i/>
          <w:sz w:val="24"/>
          <w:u w:val="single"/>
        </w:rPr>
        <w:lastRenderedPageBreak/>
        <w:t>Personnel concerné</w:t>
      </w:r>
    </w:p>
    <w:p w:rsidR="00116249" w:rsidRPr="00E0094A" w:rsidRDefault="00116249" w:rsidP="00116249">
      <w:pPr>
        <w:ind w:left="1560"/>
      </w:pPr>
      <w:r w:rsidRPr="00E0094A">
        <w:t>-</w:t>
      </w:r>
      <w:r w:rsidRPr="00E0094A">
        <w:tab/>
      </w:r>
      <w:r>
        <w:t xml:space="preserve">IDE, médecins                       </w:t>
      </w:r>
    </w:p>
    <w:p w:rsidR="00116249" w:rsidRPr="00116249" w:rsidRDefault="00116249" w:rsidP="00116249">
      <w:pPr>
        <w:spacing w:after="200" w:line="276" w:lineRule="auto"/>
        <w:rPr>
          <w:b/>
          <w:i/>
          <w:sz w:val="24"/>
          <w:u w:val="single"/>
        </w:rPr>
      </w:pPr>
      <w:r w:rsidRPr="00116249">
        <w:rPr>
          <w:b/>
          <w:i/>
          <w:sz w:val="24"/>
          <w:u w:val="single"/>
        </w:rPr>
        <w:t>Déroulement</w:t>
      </w:r>
    </w:p>
    <w:p w:rsidR="00116249" w:rsidRPr="00230D7F" w:rsidRDefault="00116249" w:rsidP="00116249">
      <w:pPr>
        <w:pStyle w:val="Paragraphedeliste"/>
        <w:numPr>
          <w:ilvl w:val="0"/>
          <w:numId w:val="14"/>
        </w:numPr>
        <w:ind w:left="709"/>
      </w:pPr>
      <w:r w:rsidRPr="00116249">
        <w:rPr>
          <w:u w:val="single"/>
        </w:rPr>
        <w:t>Le patient est transféré alors que la transfusion d’un PSL du dépôt est en cours</w:t>
      </w:r>
      <w:r w:rsidRPr="00230D7F">
        <w:t xml:space="preserve"> : </w:t>
      </w:r>
    </w:p>
    <w:p w:rsidR="00116249" w:rsidRPr="00230D7F" w:rsidRDefault="00116249" w:rsidP="00116249">
      <w:pPr>
        <w:ind w:left="567" w:hanging="567"/>
        <w:rPr>
          <w:b/>
        </w:rPr>
      </w:pPr>
      <w:r w:rsidRPr="00230D7F">
        <w:t>Le PSL en cours est transféré avec le patient.</w:t>
      </w:r>
    </w:p>
    <w:p w:rsidR="00116249" w:rsidRPr="008F267D" w:rsidRDefault="00116249" w:rsidP="00116249">
      <w:pPr>
        <w:pStyle w:val="Paragraphedeliste"/>
        <w:numPr>
          <w:ilvl w:val="0"/>
          <w:numId w:val="11"/>
        </w:numPr>
        <w:spacing w:after="200" w:line="276" w:lineRule="auto"/>
        <w:ind w:left="1418"/>
        <w:rPr>
          <w:b/>
        </w:rPr>
      </w:pPr>
      <w:r w:rsidRPr="008F267D">
        <w:t>S’il reste des PSL au nom du patient dans le dépôt, ils</w:t>
      </w:r>
      <w:r>
        <w:t xml:space="preserve"> doivent être retournés à l’EFS ;</w:t>
      </w:r>
    </w:p>
    <w:p w:rsidR="00116249" w:rsidRDefault="00116249" w:rsidP="00116249">
      <w:pPr>
        <w:pStyle w:val="Paragraphedeliste"/>
        <w:numPr>
          <w:ilvl w:val="0"/>
          <w:numId w:val="11"/>
        </w:numPr>
        <w:spacing w:after="200" w:line="276" w:lineRule="auto"/>
        <w:ind w:left="1418"/>
        <w:rPr>
          <w:b/>
        </w:rPr>
      </w:pPr>
      <w:r w:rsidRPr="008F267D">
        <w:t xml:space="preserve">S’il s’agit de PSL pris dans le stock d’urgence, une demande réapprovisionnement en urgence doit être faite auprès de l’EFS. </w:t>
      </w:r>
    </w:p>
    <w:p w:rsidR="00116249" w:rsidRPr="008F267D" w:rsidRDefault="00116249" w:rsidP="00116249">
      <w:pPr>
        <w:pStyle w:val="Paragraphedeliste"/>
        <w:ind w:left="2280"/>
        <w:rPr>
          <w:b/>
        </w:rPr>
      </w:pPr>
    </w:p>
    <w:p w:rsidR="00116249" w:rsidRPr="008F267D" w:rsidRDefault="00116249" w:rsidP="00116249">
      <w:pPr>
        <w:rPr>
          <w:b/>
        </w:rPr>
      </w:pPr>
      <w:r w:rsidRPr="008F267D">
        <w:t xml:space="preserve">Il ne faudra pas oublier de joindre photocopie de la RAI et les 2 déterminations du </w:t>
      </w:r>
      <w:proofErr w:type="spellStart"/>
      <w:r w:rsidRPr="008F267D">
        <w:t>phénotypage</w:t>
      </w:r>
      <w:proofErr w:type="spellEnd"/>
      <w:r w:rsidRPr="008F267D">
        <w:t xml:space="preserve"> érythrocytaire ABO RHKEL1 valide du patient.</w:t>
      </w:r>
    </w:p>
    <w:p w:rsidR="00116249" w:rsidRPr="00230D7F" w:rsidRDefault="00116249" w:rsidP="00116249">
      <w:pPr>
        <w:ind w:left="2127" w:hanging="567"/>
        <w:rPr>
          <w:b/>
        </w:rPr>
      </w:pPr>
    </w:p>
    <w:p w:rsidR="00116249" w:rsidRPr="00230D7F" w:rsidRDefault="00116249" w:rsidP="00116249">
      <w:pPr>
        <w:pStyle w:val="Paragraphedeliste"/>
        <w:numPr>
          <w:ilvl w:val="0"/>
          <w:numId w:val="14"/>
        </w:numPr>
        <w:ind w:left="709"/>
      </w:pPr>
      <w:r w:rsidRPr="00116249">
        <w:rPr>
          <w:u w:val="single"/>
        </w:rPr>
        <w:t>Le patient est transféré avant l’administration de PSL qui sont conservés nominativement au dépôt</w:t>
      </w:r>
      <w:r w:rsidRPr="00846F73">
        <w:t xml:space="preserve"> :</w:t>
      </w:r>
      <w:r w:rsidRPr="00230D7F">
        <w:t xml:space="preserve"> </w:t>
      </w:r>
    </w:p>
    <w:p w:rsidR="00116249" w:rsidRPr="008F267D" w:rsidRDefault="00116249" w:rsidP="00116249">
      <w:pPr>
        <w:pStyle w:val="Paragraphedeliste"/>
        <w:numPr>
          <w:ilvl w:val="0"/>
          <w:numId w:val="12"/>
        </w:numPr>
        <w:spacing w:after="200" w:line="276" w:lineRule="auto"/>
        <w:ind w:left="1418"/>
        <w:rPr>
          <w:b/>
        </w:rPr>
      </w:pPr>
      <w:r w:rsidRPr="008F267D">
        <w:t>Ne pas tra</w:t>
      </w:r>
      <w:r>
        <w:t>nsférer les PSL avec le patient ;</w:t>
      </w:r>
    </w:p>
    <w:p w:rsidR="00116249" w:rsidRPr="008F267D" w:rsidRDefault="00116249" w:rsidP="00116249">
      <w:pPr>
        <w:pStyle w:val="Paragraphedeliste"/>
        <w:numPr>
          <w:ilvl w:val="0"/>
          <w:numId w:val="12"/>
        </w:numPr>
        <w:spacing w:after="200" w:line="276" w:lineRule="auto"/>
        <w:ind w:left="1418"/>
        <w:rPr>
          <w:b/>
        </w:rPr>
      </w:pPr>
      <w:r w:rsidRPr="008F267D">
        <w:t xml:space="preserve">Préparer un dossier à l’attention de l’établissement receveur avec copie RAI et les 2 déterminations du </w:t>
      </w:r>
      <w:proofErr w:type="spellStart"/>
      <w:r w:rsidRPr="008F267D">
        <w:t>phénotypage</w:t>
      </w:r>
      <w:proofErr w:type="spellEnd"/>
      <w:r w:rsidRPr="008F267D">
        <w:t xml:space="preserve"> érythrocytaire ABO RHKEL1 valide. L’établissement receveur fera une prescription de PSL</w:t>
      </w:r>
      <w:r>
        <w:t> ;</w:t>
      </w:r>
    </w:p>
    <w:p w:rsidR="00116249" w:rsidRPr="008F267D" w:rsidRDefault="00116249" w:rsidP="00116249">
      <w:pPr>
        <w:pStyle w:val="Paragraphedeliste"/>
        <w:numPr>
          <w:ilvl w:val="0"/>
          <w:numId w:val="12"/>
        </w:numPr>
        <w:spacing w:after="200" w:line="276" w:lineRule="auto"/>
        <w:ind w:left="1418"/>
        <w:rPr>
          <w:b/>
        </w:rPr>
      </w:pPr>
      <w:r w:rsidRPr="008F267D">
        <w:t>Préparer le retour des PSL à l’EFS</w:t>
      </w:r>
      <w:r>
        <w:t> ;</w:t>
      </w:r>
    </w:p>
    <w:p w:rsidR="00116249" w:rsidRPr="008F267D" w:rsidRDefault="00116249" w:rsidP="00116249">
      <w:pPr>
        <w:pStyle w:val="Paragraphedeliste"/>
        <w:numPr>
          <w:ilvl w:val="0"/>
          <w:numId w:val="12"/>
        </w:numPr>
        <w:spacing w:after="200" w:line="276" w:lineRule="auto"/>
        <w:ind w:left="1418"/>
        <w:rPr>
          <w:b/>
        </w:rPr>
      </w:pPr>
      <w:r w:rsidRPr="008F267D">
        <w:t>Une situation clinique d’extrême urgence décidée par le médecin responsable du transfert peut justifier le transfert du patient avec les PSL non transfusés, dans ce cas, le transport des PSL doit être effectué dans une b</w:t>
      </w:r>
      <w:r>
        <w:t xml:space="preserve">oite isotherme, l’IDE ou la TL </w:t>
      </w:r>
      <w:r w:rsidRPr="008F267D">
        <w:t>du dépôt délivre les PSL et informe le responsable du dépôt. L’EFS doit être informé du transfert des PSL. Il convient de faire une copie de la fiche de délivrance pour récupération de la traçabilité auprès de l’ES destinataire.</w:t>
      </w:r>
    </w:p>
    <w:p w:rsidR="00116249" w:rsidRPr="009C5E11" w:rsidRDefault="00116249" w:rsidP="00116249">
      <w:pPr>
        <w:ind w:left="2835"/>
      </w:pPr>
    </w:p>
    <w:p w:rsidR="00116249" w:rsidRPr="00116249" w:rsidRDefault="00116249" w:rsidP="00116249">
      <w:pPr>
        <w:pStyle w:val="Paragraphedeliste"/>
        <w:numPr>
          <w:ilvl w:val="0"/>
          <w:numId w:val="14"/>
        </w:numPr>
        <w:ind w:left="709"/>
        <w:rPr>
          <w:i/>
          <w:u w:val="single"/>
        </w:rPr>
      </w:pPr>
      <w:r w:rsidRPr="00116249">
        <w:rPr>
          <w:u w:val="single"/>
        </w:rPr>
        <w:t>Traçabilité des PSL :</w:t>
      </w:r>
    </w:p>
    <w:p w:rsidR="00116249" w:rsidRPr="008F267D" w:rsidRDefault="00116249" w:rsidP="00116249">
      <w:pPr>
        <w:pStyle w:val="Paragraphedeliste"/>
        <w:numPr>
          <w:ilvl w:val="0"/>
          <w:numId w:val="13"/>
        </w:numPr>
        <w:spacing w:after="200" w:line="276" w:lineRule="auto"/>
        <w:ind w:left="1418"/>
        <w:rPr>
          <w:b/>
        </w:rPr>
      </w:pPr>
      <w:r w:rsidRPr="008F267D">
        <w:t xml:space="preserve">Il convient de définir la personne qui va se charger de récupérer </w:t>
      </w:r>
      <w:r>
        <w:t xml:space="preserve">la fiche de délivrance du PSL </w:t>
      </w:r>
      <w:r w:rsidRPr="008F267D">
        <w:t xml:space="preserve">en deux exemplaires (une pour la traçabilité, et une autre qui va accompagner le PSL lors du transfert). Il faut noter sur cette fiche de délivrance en face du ou des numéros concernés « transférés avec le patient </w:t>
      </w:r>
      <w:r>
        <w:t>» : destination, date et heure ;</w:t>
      </w:r>
    </w:p>
    <w:p w:rsidR="00116249" w:rsidRPr="008F267D" w:rsidRDefault="00116249" w:rsidP="00116249">
      <w:pPr>
        <w:pStyle w:val="Paragraphedeliste"/>
        <w:numPr>
          <w:ilvl w:val="0"/>
          <w:numId w:val="13"/>
        </w:numPr>
        <w:spacing w:after="200" w:line="276" w:lineRule="auto"/>
        <w:ind w:left="1418"/>
        <w:rPr>
          <w:b/>
        </w:rPr>
      </w:pPr>
      <w:r w:rsidRPr="008F267D">
        <w:t>Il convient de faxer à l’EFS un double de cette fiche de délivrance remplie et ensuite à ranger dans le do</w:t>
      </w:r>
      <w:r>
        <w:t>ssier transfusionnel du patient.</w:t>
      </w:r>
    </w:p>
    <w:p w:rsidR="00116249" w:rsidRDefault="00116249"/>
    <w:sectPr w:rsidR="00116249" w:rsidSect="00E01806">
      <w:headerReference w:type="default" r:id="rId7"/>
      <w:foot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33F" w:rsidRDefault="0029033F" w:rsidP="00CE47D1">
      <w:pPr>
        <w:spacing w:after="0" w:line="240" w:lineRule="auto"/>
      </w:pPr>
      <w:r>
        <w:separator/>
      </w:r>
    </w:p>
  </w:endnote>
  <w:endnote w:type="continuationSeparator" w:id="0">
    <w:p w:rsidR="0029033F" w:rsidRDefault="0029033F" w:rsidP="00C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3" w:rsidRPr="00F3500B" w:rsidRDefault="002A07E7" w:rsidP="00554F14">
    <w:pPr>
      <w:pStyle w:val="Pieddepage"/>
      <w:rPr>
        <w:rFonts w:ascii="Arial" w:hAnsi="Arial" w:cs="Arial"/>
        <w:color w:val="000080"/>
        <w:sz w:val="14"/>
        <w:szCs w:val="16"/>
      </w:rPr>
    </w:pPr>
    <w:r>
      <w:rPr>
        <w:rFonts w:ascii="Arial" w:hAnsi="Arial" w:cs="Arial"/>
        <w:i/>
        <w:color w:val="000080"/>
        <w:sz w:val="12"/>
        <w:szCs w:val="16"/>
      </w:rPr>
      <w:t>HV</w:t>
    </w:r>
    <w:r w:rsidR="00F3500B" w:rsidRPr="00F3500B">
      <w:rPr>
        <w:rFonts w:ascii="Arial" w:hAnsi="Arial" w:cs="Arial"/>
        <w:i/>
        <w:color w:val="000080"/>
        <w:sz w:val="12"/>
        <w:szCs w:val="16"/>
      </w:rPr>
      <w:t>CVL/</w:t>
    </w:r>
    <w:r w:rsidR="00C639D5">
      <w:rPr>
        <w:rFonts w:ascii="Arial" w:hAnsi="Arial" w:cs="Arial"/>
        <w:i/>
        <w:color w:val="000080"/>
        <w:sz w:val="12"/>
        <w:szCs w:val="16"/>
      </w:rPr>
      <w:t>DEPOT/AUTORISATION/</w:t>
    </w:r>
    <w:r w:rsidR="00116249">
      <w:rPr>
        <w:rFonts w:ascii="Arial" w:hAnsi="Arial" w:cs="Arial"/>
        <w:i/>
        <w:color w:val="000080"/>
        <w:sz w:val="12"/>
        <w:szCs w:val="16"/>
      </w:rPr>
      <w:t>TRANSFERT-PATIENT-AUTRE-ES</w:t>
    </w:r>
  </w:p>
  <w:p w:rsidR="00E77183" w:rsidRDefault="00E77183" w:rsidP="00E77183">
    <w:pPr>
      <w:pStyle w:val="Pieddepage"/>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33F" w:rsidRDefault="0029033F" w:rsidP="00CE47D1">
      <w:pPr>
        <w:spacing w:after="0" w:line="240" w:lineRule="auto"/>
      </w:pPr>
      <w:r>
        <w:separator/>
      </w:r>
    </w:p>
  </w:footnote>
  <w:footnote w:type="continuationSeparator" w:id="0">
    <w:p w:rsidR="0029033F" w:rsidRDefault="0029033F" w:rsidP="00CE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D1" w:rsidRDefault="00273F0A"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2C39F" id="Connecteur droit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0288" behindDoc="1" locked="0" layoutInCell="1" allowOverlap="1">
          <wp:simplePos x="0" y="0"/>
          <wp:positionH relativeFrom="column">
            <wp:posOffset>150495</wp:posOffset>
          </wp:positionH>
          <wp:positionV relativeFrom="paragraph">
            <wp:posOffset>232410</wp:posOffset>
          </wp:positionV>
          <wp:extent cx="395785" cy="361154"/>
          <wp:effectExtent l="0" t="0" r="444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59264" behindDoc="1" locked="0" layoutInCell="1" allowOverlap="0" wp14:anchorId="5258606D" wp14:editId="23782684">
          <wp:simplePos x="0" y="0"/>
          <wp:positionH relativeFrom="margin">
            <wp:align>left</wp:align>
          </wp:positionH>
          <wp:positionV relativeFrom="line">
            <wp:posOffset>-163034</wp:posOffset>
          </wp:positionV>
          <wp:extent cx="808028" cy="300251"/>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F3500B" w:rsidRPr="00273F0A" w:rsidRDefault="00F3500B"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344"/>
    <w:multiLevelType w:val="hybridMultilevel"/>
    <w:tmpl w:val="1D105280"/>
    <w:lvl w:ilvl="0" w:tplc="3B2EC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0A2E88"/>
    <w:multiLevelType w:val="hybridMultilevel"/>
    <w:tmpl w:val="1EE0D65A"/>
    <w:lvl w:ilvl="0" w:tplc="040C0003">
      <w:start w:val="1"/>
      <w:numFmt w:val="bullet"/>
      <w:lvlText w:val="o"/>
      <w:lvlJc w:val="left"/>
      <w:pPr>
        <w:ind w:left="2280" w:hanging="360"/>
      </w:pPr>
      <w:rPr>
        <w:rFonts w:ascii="Courier New" w:hAnsi="Courier New" w:cs="Courier New"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 w15:restartNumberingAfterBreak="0">
    <w:nsid w:val="09F77207"/>
    <w:multiLevelType w:val="hybridMultilevel"/>
    <w:tmpl w:val="6462A34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BCD6485"/>
    <w:multiLevelType w:val="hybridMultilevel"/>
    <w:tmpl w:val="E7262A7E"/>
    <w:lvl w:ilvl="0" w:tplc="040C000B">
      <w:start w:val="1"/>
      <w:numFmt w:val="bullet"/>
      <w:lvlText w:val=""/>
      <w:lvlJc w:val="left"/>
      <w:pPr>
        <w:ind w:left="2047" w:hanging="360"/>
      </w:pPr>
      <w:rPr>
        <w:rFonts w:ascii="Wingdings" w:hAnsi="Wingdings" w:hint="default"/>
      </w:rPr>
    </w:lvl>
    <w:lvl w:ilvl="1" w:tplc="040C0003" w:tentative="1">
      <w:start w:val="1"/>
      <w:numFmt w:val="bullet"/>
      <w:lvlText w:val="o"/>
      <w:lvlJc w:val="left"/>
      <w:pPr>
        <w:ind w:left="2767" w:hanging="360"/>
      </w:pPr>
      <w:rPr>
        <w:rFonts w:ascii="Courier New" w:hAnsi="Courier New" w:cs="Courier New" w:hint="default"/>
      </w:rPr>
    </w:lvl>
    <w:lvl w:ilvl="2" w:tplc="040C0005" w:tentative="1">
      <w:start w:val="1"/>
      <w:numFmt w:val="bullet"/>
      <w:lvlText w:val=""/>
      <w:lvlJc w:val="left"/>
      <w:pPr>
        <w:ind w:left="3487" w:hanging="360"/>
      </w:pPr>
      <w:rPr>
        <w:rFonts w:ascii="Wingdings" w:hAnsi="Wingdings" w:hint="default"/>
      </w:rPr>
    </w:lvl>
    <w:lvl w:ilvl="3" w:tplc="040C0001" w:tentative="1">
      <w:start w:val="1"/>
      <w:numFmt w:val="bullet"/>
      <w:lvlText w:val=""/>
      <w:lvlJc w:val="left"/>
      <w:pPr>
        <w:ind w:left="4207" w:hanging="360"/>
      </w:pPr>
      <w:rPr>
        <w:rFonts w:ascii="Symbol" w:hAnsi="Symbol" w:hint="default"/>
      </w:rPr>
    </w:lvl>
    <w:lvl w:ilvl="4" w:tplc="040C0003" w:tentative="1">
      <w:start w:val="1"/>
      <w:numFmt w:val="bullet"/>
      <w:lvlText w:val="o"/>
      <w:lvlJc w:val="left"/>
      <w:pPr>
        <w:ind w:left="4927" w:hanging="360"/>
      </w:pPr>
      <w:rPr>
        <w:rFonts w:ascii="Courier New" w:hAnsi="Courier New" w:cs="Courier New" w:hint="default"/>
      </w:rPr>
    </w:lvl>
    <w:lvl w:ilvl="5" w:tplc="040C0005" w:tentative="1">
      <w:start w:val="1"/>
      <w:numFmt w:val="bullet"/>
      <w:lvlText w:val=""/>
      <w:lvlJc w:val="left"/>
      <w:pPr>
        <w:ind w:left="5647" w:hanging="360"/>
      </w:pPr>
      <w:rPr>
        <w:rFonts w:ascii="Wingdings" w:hAnsi="Wingdings" w:hint="default"/>
      </w:rPr>
    </w:lvl>
    <w:lvl w:ilvl="6" w:tplc="040C0001" w:tentative="1">
      <w:start w:val="1"/>
      <w:numFmt w:val="bullet"/>
      <w:lvlText w:val=""/>
      <w:lvlJc w:val="left"/>
      <w:pPr>
        <w:ind w:left="6367" w:hanging="360"/>
      </w:pPr>
      <w:rPr>
        <w:rFonts w:ascii="Symbol" w:hAnsi="Symbol" w:hint="default"/>
      </w:rPr>
    </w:lvl>
    <w:lvl w:ilvl="7" w:tplc="040C0003" w:tentative="1">
      <w:start w:val="1"/>
      <w:numFmt w:val="bullet"/>
      <w:lvlText w:val="o"/>
      <w:lvlJc w:val="left"/>
      <w:pPr>
        <w:ind w:left="7087" w:hanging="360"/>
      </w:pPr>
      <w:rPr>
        <w:rFonts w:ascii="Courier New" w:hAnsi="Courier New" w:cs="Courier New" w:hint="default"/>
      </w:rPr>
    </w:lvl>
    <w:lvl w:ilvl="8" w:tplc="040C0005" w:tentative="1">
      <w:start w:val="1"/>
      <w:numFmt w:val="bullet"/>
      <w:lvlText w:val=""/>
      <w:lvlJc w:val="left"/>
      <w:pPr>
        <w:ind w:left="7807" w:hanging="360"/>
      </w:pPr>
      <w:rPr>
        <w:rFonts w:ascii="Wingdings" w:hAnsi="Wingdings" w:hint="default"/>
      </w:rPr>
    </w:lvl>
  </w:abstractNum>
  <w:abstractNum w:abstractNumId="4" w15:restartNumberingAfterBreak="0">
    <w:nsid w:val="104A1850"/>
    <w:multiLevelType w:val="hybridMultilevel"/>
    <w:tmpl w:val="E9C27C36"/>
    <w:lvl w:ilvl="0" w:tplc="040C0003">
      <w:start w:val="1"/>
      <w:numFmt w:val="bullet"/>
      <w:lvlText w:val="o"/>
      <w:lvlJc w:val="left"/>
      <w:pPr>
        <w:ind w:left="2280" w:hanging="360"/>
      </w:pPr>
      <w:rPr>
        <w:rFonts w:ascii="Courier New" w:hAnsi="Courier New" w:cs="Courier New"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5" w15:restartNumberingAfterBreak="0">
    <w:nsid w:val="2BDA0059"/>
    <w:multiLevelType w:val="hybridMultilevel"/>
    <w:tmpl w:val="B4AE2B08"/>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 w15:restartNumberingAfterBreak="0">
    <w:nsid w:val="38A96998"/>
    <w:multiLevelType w:val="hybridMultilevel"/>
    <w:tmpl w:val="23F24030"/>
    <w:lvl w:ilvl="0" w:tplc="E012AEEA">
      <w:numFmt w:val="bullet"/>
      <w:lvlText w:val=""/>
      <w:lvlJc w:val="left"/>
      <w:pPr>
        <w:ind w:left="720" w:hanging="360"/>
      </w:pPr>
      <w:rPr>
        <w:rFonts w:ascii="Wingdings" w:eastAsiaTheme="minorHAnsi" w:hAnsi="Wingdings" w:cstheme="minorBidi"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A7274C"/>
    <w:multiLevelType w:val="hybridMultilevel"/>
    <w:tmpl w:val="DD64FB54"/>
    <w:lvl w:ilvl="0" w:tplc="6B6810D6">
      <w:start w:val="1"/>
      <w:numFmt w:val="decimal"/>
      <w:lvlText w:val="%1)"/>
      <w:lvlJc w:val="left"/>
      <w:pPr>
        <w:ind w:left="1068" w:hanging="708"/>
      </w:pPr>
      <w:rPr>
        <w:rFonts w:hint="default"/>
        <w:b/>
        <w:i/>
        <w:color w:val="BF8F00" w:themeColor="accent4" w:themeShade="BF"/>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BDF7A19"/>
    <w:multiLevelType w:val="hybridMultilevel"/>
    <w:tmpl w:val="DF94B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413AF5"/>
    <w:multiLevelType w:val="hybridMultilevel"/>
    <w:tmpl w:val="04347888"/>
    <w:lvl w:ilvl="0" w:tplc="040C0003">
      <w:start w:val="1"/>
      <w:numFmt w:val="bullet"/>
      <w:lvlText w:val="o"/>
      <w:lvlJc w:val="left"/>
      <w:pPr>
        <w:ind w:left="2280" w:hanging="360"/>
      </w:pPr>
      <w:rPr>
        <w:rFonts w:ascii="Courier New" w:hAnsi="Courier New" w:cs="Courier New"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0" w15:restartNumberingAfterBreak="0">
    <w:nsid w:val="54C556EB"/>
    <w:multiLevelType w:val="hybridMultilevel"/>
    <w:tmpl w:val="EFD09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B71BB5"/>
    <w:multiLevelType w:val="hybridMultilevel"/>
    <w:tmpl w:val="F0FC9600"/>
    <w:lvl w:ilvl="0" w:tplc="29C8449C">
      <w:numFmt w:val="bullet"/>
      <w:lvlText w:val=""/>
      <w:lvlJc w:val="left"/>
      <w:pPr>
        <w:ind w:left="720" w:hanging="360"/>
      </w:pPr>
      <w:rPr>
        <w:rFonts w:ascii="Wingdings" w:eastAsiaTheme="minorHAnsi" w:hAnsi="Wingdings" w:cstheme="minorBidi" w:hint="default"/>
        <w:b w:val="0"/>
        <w:i w:val="0"/>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BB676B"/>
    <w:multiLevelType w:val="hybridMultilevel"/>
    <w:tmpl w:val="6DA274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6F236D4F"/>
    <w:multiLevelType w:val="hybridMultilevel"/>
    <w:tmpl w:val="8DD82D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3"/>
  </w:num>
  <w:num w:numId="4">
    <w:abstractNumId w:val="10"/>
  </w:num>
  <w:num w:numId="5">
    <w:abstractNumId w:val="12"/>
  </w:num>
  <w:num w:numId="6">
    <w:abstractNumId w:val="2"/>
  </w:num>
  <w:num w:numId="7">
    <w:abstractNumId w:val="6"/>
  </w:num>
  <w:num w:numId="8">
    <w:abstractNumId w:val="5"/>
  </w:num>
  <w:num w:numId="9">
    <w:abstractNumId w:val="11"/>
  </w:num>
  <w:num w:numId="10">
    <w:abstractNumId w:val="7"/>
  </w:num>
  <w:num w:numId="11">
    <w:abstractNumId w:val="1"/>
  </w:num>
  <w:num w:numId="12">
    <w:abstractNumId w:val="4"/>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1"/>
    <w:rsid w:val="000205B4"/>
    <w:rsid w:val="000579B2"/>
    <w:rsid w:val="00072B6C"/>
    <w:rsid w:val="00116249"/>
    <w:rsid w:val="0014394F"/>
    <w:rsid w:val="00186CD5"/>
    <w:rsid w:val="001F6AB9"/>
    <w:rsid w:val="0025104A"/>
    <w:rsid w:val="00273F0A"/>
    <w:rsid w:val="0029033F"/>
    <w:rsid w:val="002A07E7"/>
    <w:rsid w:val="0033287C"/>
    <w:rsid w:val="0034566B"/>
    <w:rsid w:val="00470594"/>
    <w:rsid w:val="00526625"/>
    <w:rsid w:val="00554F14"/>
    <w:rsid w:val="005B050B"/>
    <w:rsid w:val="0061450D"/>
    <w:rsid w:val="006754D0"/>
    <w:rsid w:val="00734F1B"/>
    <w:rsid w:val="007C1278"/>
    <w:rsid w:val="008F0DC7"/>
    <w:rsid w:val="00936547"/>
    <w:rsid w:val="009E7C8D"/>
    <w:rsid w:val="00A80F10"/>
    <w:rsid w:val="00B432ED"/>
    <w:rsid w:val="00B7265B"/>
    <w:rsid w:val="00BC63D7"/>
    <w:rsid w:val="00C331EA"/>
    <w:rsid w:val="00C639D5"/>
    <w:rsid w:val="00C80EFE"/>
    <w:rsid w:val="00CE47D1"/>
    <w:rsid w:val="00D34273"/>
    <w:rsid w:val="00D806C2"/>
    <w:rsid w:val="00DC36D8"/>
    <w:rsid w:val="00E01806"/>
    <w:rsid w:val="00E2356D"/>
    <w:rsid w:val="00E365BE"/>
    <w:rsid w:val="00E71160"/>
    <w:rsid w:val="00E77183"/>
    <w:rsid w:val="00F3500B"/>
    <w:rsid w:val="00FC5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341B2D"/>
  <w15:chartTrackingRefBased/>
  <w15:docId w15:val="{D50D74A9-38AB-4799-8ADD-5687667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47D1"/>
    <w:pPr>
      <w:tabs>
        <w:tab w:val="center" w:pos="4536"/>
        <w:tab w:val="right" w:pos="9072"/>
      </w:tabs>
      <w:spacing w:after="0" w:line="240" w:lineRule="auto"/>
    </w:pPr>
  </w:style>
  <w:style w:type="character" w:customStyle="1" w:styleId="En-tteCar">
    <w:name w:val="En-tête Car"/>
    <w:basedOn w:val="Policepardfaut"/>
    <w:link w:val="En-tte"/>
    <w:uiPriority w:val="99"/>
    <w:rsid w:val="00CE47D1"/>
  </w:style>
  <w:style w:type="paragraph" w:styleId="Pieddepage">
    <w:name w:val="footer"/>
    <w:basedOn w:val="Normal"/>
    <w:link w:val="PieddepageCar"/>
    <w:uiPriority w:val="99"/>
    <w:unhideWhenUsed/>
    <w:rsid w:val="00CE4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7D1"/>
  </w:style>
  <w:style w:type="paragraph" w:styleId="Paragraphedeliste">
    <w:name w:val="List Paragraph"/>
    <w:basedOn w:val="Normal"/>
    <w:uiPriority w:val="34"/>
    <w:qFormat/>
    <w:rsid w:val="00CE47D1"/>
    <w:pPr>
      <w:ind w:left="720"/>
      <w:contextualSpacing/>
    </w:pPr>
  </w:style>
  <w:style w:type="character" w:styleId="Lienhypertexte">
    <w:name w:val="Hyperlink"/>
    <w:basedOn w:val="Policepardfaut"/>
    <w:uiPriority w:val="99"/>
    <w:unhideWhenUsed/>
    <w:rsid w:val="008F0DC7"/>
    <w:rPr>
      <w:color w:val="0000FF"/>
      <w:u w:val="single"/>
    </w:rPr>
  </w:style>
  <w:style w:type="table" w:styleId="Grilledutableau">
    <w:name w:val="Table Grid"/>
    <w:basedOn w:val="TableauNormal"/>
    <w:uiPriority w:val="39"/>
    <w:rsid w:val="0027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FC53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392</Words>
  <Characters>2162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cp:lastModifiedBy>
  <cp:revision>22</cp:revision>
  <dcterms:created xsi:type="dcterms:W3CDTF">2020-10-16T12:52:00Z</dcterms:created>
  <dcterms:modified xsi:type="dcterms:W3CDTF">2020-11-25T13:15:00Z</dcterms:modified>
</cp:coreProperties>
</file>