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auGrille4-Accentuation1"/>
        <w:tblpPr w:leftFromText="141" w:rightFromText="141" w:vertAnchor="text" w:horzAnchor="margin" w:tblpY="760"/>
        <w:tblW w:w="0" w:type="auto"/>
        <w:tblLook w:val="04A0" w:firstRow="1" w:lastRow="0" w:firstColumn="1" w:lastColumn="0" w:noHBand="0" w:noVBand="1"/>
      </w:tblPr>
      <w:tblGrid>
        <w:gridCol w:w="9062"/>
      </w:tblGrid>
      <w:tr w:rsidR="00273F0A" w:rsidTr="00E771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73F0A" w:rsidRDefault="00B63CB4" w:rsidP="00E77183">
            <w:r>
              <w:rPr>
                <w:sz w:val="24"/>
              </w:rPr>
              <w:t>HVCVL/ES/TRANSFUSION/PROCEDURE-INFORMATIONS-PATIENT</w:t>
            </w:r>
          </w:p>
        </w:tc>
      </w:tr>
      <w:tr w:rsidR="00273F0A" w:rsidTr="00E7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73F0A" w:rsidRPr="00B432ED" w:rsidRDefault="00FC530B" w:rsidP="00E77183">
            <w:pPr>
              <w:rPr>
                <w:sz w:val="18"/>
              </w:rPr>
            </w:pPr>
            <w:r w:rsidRPr="00B432ED">
              <w:rPr>
                <w:sz w:val="18"/>
              </w:rPr>
              <w:t xml:space="preserve">Date de rédaction : </w:t>
            </w:r>
            <w:r w:rsidR="00554F14">
              <w:rPr>
                <w:b w:val="0"/>
                <w:sz w:val="18"/>
              </w:rPr>
              <w:t>07/2017</w:t>
            </w:r>
          </w:p>
        </w:tc>
      </w:tr>
      <w:tr w:rsidR="00273F0A" w:rsidTr="00E77183">
        <w:tc>
          <w:tcPr>
            <w:cnfStyle w:val="001000000000" w:firstRow="0" w:lastRow="0" w:firstColumn="1" w:lastColumn="0" w:oddVBand="0" w:evenVBand="0" w:oddHBand="0" w:evenHBand="0" w:firstRowFirstColumn="0" w:firstRowLastColumn="0" w:lastRowFirstColumn="0" w:lastRowLastColumn="0"/>
            <w:tcW w:w="9062" w:type="dxa"/>
          </w:tcPr>
          <w:p w:rsidR="00273F0A" w:rsidRPr="00B432ED" w:rsidRDefault="00FC530B" w:rsidP="00E77183">
            <w:pPr>
              <w:rPr>
                <w:sz w:val="18"/>
              </w:rPr>
            </w:pPr>
            <w:r w:rsidRPr="00B432ED">
              <w:rPr>
                <w:sz w:val="18"/>
              </w:rPr>
              <w:t xml:space="preserve">Date de diffusion : </w:t>
            </w:r>
            <w:r w:rsidR="00370909">
              <w:rPr>
                <w:b w:val="0"/>
                <w:sz w:val="18"/>
              </w:rPr>
              <w:t>06</w:t>
            </w:r>
            <w:r w:rsidR="003F109A">
              <w:rPr>
                <w:b w:val="0"/>
                <w:sz w:val="18"/>
              </w:rPr>
              <w:t>/01/2021</w:t>
            </w:r>
          </w:p>
        </w:tc>
      </w:tr>
      <w:tr w:rsidR="00FC530B" w:rsidTr="00E7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FC530B" w:rsidRPr="00B432ED" w:rsidRDefault="00FC530B" w:rsidP="00E77183">
            <w:pPr>
              <w:rPr>
                <w:sz w:val="18"/>
              </w:rPr>
            </w:pPr>
            <w:r w:rsidRPr="00B432ED">
              <w:rPr>
                <w:sz w:val="18"/>
              </w:rPr>
              <w:t xml:space="preserve">Version : </w:t>
            </w:r>
            <w:r w:rsidR="00554F14">
              <w:rPr>
                <w:b w:val="0"/>
                <w:sz w:val="18"/>
              </w:rPr>
              <w:t>03</w:t>
            </w:r>
          </w:p>
        </w:tc>
      </w:tr>
    </w:tbl>
    <w:p w:rsidR="00E77183" w:rsidRDefault="00E77183"/>
    <w:p w:rsidR="00E77183" w:rsidRDefault="00E77183"/>
    <w:p w:rsidR="00470594" w:rsidRDefault="00470594"/>
    <w:p w:rsidR="00470594" w:rsidRDefault="00E77183">
      <w:r>
        <w:rPr>
          <w:noProof/>
          <w:lang w:eastAsia="fr-FR"/>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104671</wp:posOffset>
                </wp:positionV>
                <wp:extent cx="5745167" cy="292905"/>
                <wp:effectExtent l="0" t="0" r="27305" b="12065"/>
                <wp:wrapNone/>
                <wp:docPr id="3" name="Rectangle 3"/>
                <wp:cNvGraphicFramePr/>
                <a:graphic xmlns:a="http://schemas.openxmlformats.org/drawingml/2006/main">
                  <a:graphicData uri="http://schemas.microsoft.com/office/word/2010/wordprocessingShape">
                    <wps:wsp>
                      <wps:cNvSpPr/>
                      <wps:spPr>
                        <a:xfrm>
                          <a:off x="0" y="0"/>
                          <a:ext cx="5745167" cy="292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530B" w:rsidRPr="00FC530B" w:rsidRDefault="00FC530B" w:rsidP="00FC530B">
                            <w:pPr>
                              <w:rPr>
                                <w:b/>
                                <w:sz w:val="28"/>
                              </w:rPr>
                            </w:pPr>
                            <w:r w:rsidRPr="00FC530B">
                              <w:rPr>
                                <w:b/>
                                <w:sz w:val="28"/>
                              </w:rPr>
                              <w:t xml:space="preserve">Procédure </w:t>
                            </w:r>
                            <w:r w:rsidR="00B63CB4">
                              <w:rPr>
                                <w:b/>
                                <w:sz w:val="28"/>
                              </w:rPr>
                              <w:t>d’informations patient receveur de PSL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0;margin-top:8.25pt;width:452.4pt;height:23.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" fillcolor="#5b9bd5 [3204]" strokecolor="#1f4d78 [1604]" strokeweight="1pt">
                <v:textbox>
                  <w:txbxContent>
                    <w:p w:rsidR="00FC530B" w:rsidRPr="00FC530B" w:rsidRDefault="00FC530B" w:rsidP="00FC530B">
                      <w:pPr>
                        <w:rPr>
                          <w:b/>
                          <w:sz w:val="28"/>
                        </w:rPr>
                      </w:pPr>
                      <w:r w:rsidRPr="00FC530B">
                        <w:rPr>
                          <w:b/>
                          <w:sz w:val="28"/>
                        </w:rPr>
                        <w:t xml:space="preserve">Procédure </w:t>
                      </w:r>
                      <w:r w:rsidR="00B63CB4">
                        <w:rPr>
                          <w:b/>
                          <w:sz w:val="28"/>
                        </w:rPr>
                        <w:t>d’informations patient receveur de PSL</w:t>
                      </w:r>
                    </w:p>
                  </w:txbxContent>
                </v:textbox>
                <w10:wrap anchorx="margin"/>
              </v:rect>
            </w:pict>
          </mc:Fallback>
        </mc:AlternateContent>
      </w:r>
    </w:p>
    <w:p w:rsidR="00470594" w:rsidRDefault="00470594"/>
    <w:p w:rsidR="00470594" w:rsidRDefault="00470594"/>
    <w:p w:rsidR="00E77183" w:rsidRDefault="00E77183"/>
    <w:p w:rsidR="00470594" w:rsidRPr="00E77183" w:rsidRDefault="00E77183">
      <w:pPr>
        <w:rPr>
          <w:b/>
          <w:i/>
        </w:rPr>
      </w:pPr>
      <w:r w:rsidRPr="00E77183">
        <w:rPr>
          <w:b/>
          <w:i/>
          <w:u w:val="single"/>
        </w:rPr>
        <w:t>Objectifs</w:t>
      </w:r>
      <w:r w:rsidRPr="00E77183">
        <w:rPr>
          <w:b/>
          <w:i/>
        </w:rPr>
        <w:t> :</w:t>
      </w:r>
    </w:p>
    <w:p w:rsidR="00B63CB4" w:rsidRPr="00B63CB4" w:rsidRDefault="00B63CB4" w:rsidP="00B63CB4">
      <w:pPr>
        <w:cnfStyle w:val="101000000000" w:firstRow="1" w:lastRow="0" w:firstColumn="1" w:lastColumn="0" w:oddVBand="0" w:evenVBand="0" w:oddHBand="0" w:evenHBand="0" w:firstRowFirstColumn="0" w:firstRowLastColumn="0" w:lastRowFirstColumn="0" w:lastRowLastColumn="0"/>
        <w:rPr>
          <w:rFonts w:cstheme="minorHAnsi"/>
          <w:szCs w:val="24"/>
        </w:rPr>
      </w:pPr>
      <w:r w:rsidRPr="00B63CB4">
        <w:rPr>
          <w:rFonts w:cstheme="minorHAnsi"/>
          <w:szCs w:val="24"/>
        </w:rPr>
        <w:t>Cette procédure définit les modalités d’information du patient receveur de produits sanguins labiles dans le but de :</w:t>
      </w:r>
    </w:p>
    <w:p w:rsidR="00B63CB4" w:rsidRPr="00B63CB4" w:rsidRDefault="00B63CB4" w:rsidP="00B63CB4">
      <w:pPr>
        <w:pStyle w:val="Paragraphedeliste"/>
        <w:numPr>
          <w:ilvl w:val="0"/>
          <w:numId w:val="13"/>
        </w:numPr>
        <w:spacing w:after="0" w:line="276" w:lineRule="auto"/>
        <w:ind w:left="709"/>
        <w:cnfStyle w:val="101000000000" w:firstRow="1" w:lastRow="0" w:firstColumn="1" w:lastColumn="0" w:oddVBand="0" w:evenVBand="0" w:oddHBand="0" w:evenHBand="0" w:firstRowFirstColumn="0" w:firstRowLastColumn="0" w:lastRowFirstColumn="0" w:lastRowLastColumn="0"/>
        <w:rPr>
          <w:rFonts w:cstheme="minorHAnsi"/>
          <w:szCs w:val="24"/>
        </w:rPr>
      </w:pPr>
      <w:proofErr w:type="gramStart"/>
      <w:r w:rsidRPr="00B63CB4">
        <w:rPr>
          <w:rFonts w:cstheme="minorHAnsi"/>
          <w:szCs w:val="24"/>
        </w:rPr>
        <w:t>l’informer</w:t>
      </w:r>
      <w:proofErr w:type="gramEnd"/>
      <w:r w:rsidRPr="00B63CB4">
        <w:rPr>
          <w:rFonts w:cstheme="minorHAnsi"/>
          <w:szCs w:val="24"/>
        </w:rPr>
        <w:t xml:space="preserve"> d’une démarche thérapeutique transfusionnelle et obtenir son consentement</w:t>
      </w:r>
    </w:p>
    <w:p w:rsidR="00B63CB4" w:rsidRPr="00B63CB4" w:rsidRDefault="00B63CB4" w:rsidP="00B63CB4">
      <w:pPr>
        <w:pStyle w:val="Paragraphedeliste"/>
        <w:numPr>
          <w:ilvl w:val="0"/>
          <w:numId w:val="13"/>
        </w:numPr>
        <w:spacing w:after="0" w:line="276" w:lineRule="auto"/>
        <w:ind w:left="709"/>
        <w:cnfStyle w:val="101000000000" w:firstRow="1" w:lastRow="0" w:firstColumn="1" w:lastColumn="0" w:oddVBand="0" w:evenVBand="0" w:oddHBand="0" w:evenHBand="0" w:firstRowFirstColumn="0" w:firstRowLastColumn="0" w:lastRowFirstColumn="0" w:lastRowLastColumn="0"/>
        <w:rPr>
          <w:rFonts w:cstheme="minorHAnsi"/>
          <w:szCs w:val="24"/>
        </w:rPr>
      </w:pPr>
      <w:proofErr w:type="gramStart"/>
      <w:r w:rsidRPr="00B63CB4">
        <w:rPr>
          <w:rFonts w:cstheme="minorHAnsi"/>
          <w:szCs w:val="24"/>
        </w:rPr>
        <w:t>l’informer</w:t>
      </w:r>
      <w:proofErr w:type="gramEnd"/>
      <w:r w:rsidRPr="00B63CB4">
        <w:rPr>
          <w:rFonts w:cstheme="minorHAnsi"/>
          <w:szCs w:val="24"/>
        </w:rPr>
        <w:t xml:space="preserve"> du bilan pré-transfusionnel </w:t>
      </w:r>
    </w:p>
    <w:p w:rsidR="00B63CB4" w:rsidRPr="00B63CB4" w:rsidRDefault="00B63CB4" w:rsidP="00B63CB4">
      <w:pPr>
        <w:pStyle w:val="Paragraphedeliste"/>
        <w:numPr>
          <w:ilvl w:val="0"/>
          <w:numId w:val="13"/>
        </w:numPr>
        <w:spacing w:after="0" w:line="276" w:lineRule="auto"/>
        <w:ind w:left="709"/>
        <w:cnfStyle w:val="101000000000" w:firstRow="1" w:lastRow="0" w:firstColumn="1" w:lastColumn="0" w:oddVBand="0" w:evenVBand="0" w:oddHBand="0" w:evenHBand="0" w:firstRowFirstColumn="0" w:firstRowLastColumn="0" w:lastRowFirstColumn="0" w:lastRowLastColumn="0"/>
        <w:rPr>
          <w:rFonts w:cstheme="minorHAnsi"/>
          <w:szCs w:val="24"/>
        </w:rPr>
      </w:pPr>
      <w:proofErr w:type="gramStart"/>
      <w:r w:rsidRPr="00B63CB4">
        <w:rPr>
          <w:rFonts w:cstheme="minorHAnsi"/>
          <w:szCs w:val="24"/>
        </w:rPr>
        <w:t>l’informer</w:t>
      </w:r>
      <w:proofErr w:type="gramEnd"/>
      <w:r w:rsidRPr="00B63CB4">
        <w:rPr>
          <w:rFonts w:cstheme="minorHAnsi"/>
          <w:szCs w:val="24"/>
        </w:rPr>
        <w:t xml:space="preserve"> du suivi post-transfusionnel (recherche d’agglutinines irrégulières)</w:t>
      </w:r>
    </w:p>
    <w:p w:rsidR="00E77183" w:rsidRDefault="00E77183"/>
    <w:p w:rsidR="0061450D" w:rsidRDefault="0061450D"/>
    <w:p w:rsidR="0061450D" w:rsidRDefault="0061450D"/>
    <w:p w:rsidR="00E77183" w:rsidRDefault="00E77183">
      <w:r w:rsidRPr="00E77183">
        <w:rPr>
          <w:b/>
          <w:i/>
          <w:u w:val="single"/>
        </w:rPr>
        <w:t>Textes de références</w:t>
      </w:r>
      <w:r>
        <w:t> :</w:t>
      </w:r>
    </w:p>
    <w:p w:rsidR="00B63CB4" w:rsidRPr="00B63CB4" w:rsidRDefault="00B63CB4" w:rsidP="00B63CB4">
      <w:pPr>
        <w:pStyle w:val="Paragraphedeliste"/>
        <w:keepNext/>
        <w:numPr>
          <w:ilvl w:val="0"/>
          <w:numId w:val="12"/>
        </w:numPr>
        <w:spacing w:after="0" w:line="240" w:lineRule="auto"/>
        <w:ind w:left="709"/>
        <w:outlineLvl w:val="2"/>
        <w:cnfStyle w:val="101000000000" w:firstRow="1" w:lastRow="0" w:firstColumn="1" w:lastColumn="0" w:oddVBand="0" w:evenVBand="0" w:oddHBand="0" w:evenHBand="0" w:firstRowFirstColumn="0" w:firstRowLastColumn="0" w:lastRowFirstColumn="0" w:lastRowLastColumn="0"/>
        <w:rPr>
          <w:rFonts w:eastAsia="Times New Roman" w:cstheme="minorHAnsi"/>
          <w:szCs w:val="24"/>
          <w:lang w:eastAsia="fr-FR"/>
        </w:rPr>
      </w:pPr>
      <w:r w:rsidRPr="00B63CB4">
        <w:rPr>
          <w:rFonts w:eastAsia="Times New Roman" w:cstheme="minorHAnsi"/>
          <w:bCs/>
          <w:szCs w:val="24"/>
          <w:lang w:eastAsia="fr-FR"/>
        </w:rPr>
        <w:t xml:space="preserve">Circulaire DGS/SQ 4 n° 98-231 du 9 avril 1998 </w:t>
      </w:r>
      <w:r w:rsidRPr="00B63CB4">
        <w:rPr>
          <w:rFonts w:eastAsia="Times New Roman" w:cstheme="minorHAnsi"/>
          <w:szCs w:val="24"/>
          <w:lang w:eastAsia="fr-FR"/>
        </w:rPr>
        <w:t>relative à l'information des malades, en matière de risques lies aux produits sanguins labiles et aux médicaments dérivés du sang.</w:t>
      </w:r>
    </w:p>
    <w:p w:rsidR="00B63CB4" w:rsidRPr="00B63CB4" w:rsidRDefault="00B63CB4" w:rsidP="00B63CB4">
      <w:pPr>
        <w:pStyle w:val="Paragraphedeliste"/>
        <w:numPr>
          <w:ilvl w:val="0"/>
          <w:numId w:val="12"/>
        </w:numPr>
        <w:spacing w:after="0" w:line="240" w:lineRule="auto"/>
        <w:ind w:left="709"/>
        <w:cnfStyle w:val="101000000000" w:firstRow="1" w:lastRow="0" w:firstColumn="1" w:lastColumn="0" w:oddVBand="0" w:evenVBand="0" w:oddHBand="0" w:evenHBand="0" w:firstRowFirstColumn="0" w:firstRowLastColumn="0" w:lastRowFirstColumn="0" w:lastRowLastColumn="0"/>
        <w:rPr>
          <w:rFonts w:cstheme="minorHAnsi"/>
          <w:szCs w:val="24"/>
        </w:rPr>
      </w:pPr>
      <w:r w:rsidRPr="00B63CB4">
        <w:rPr>
          <w:rFonts w:cstheme="minorHAnsi"/>
          <w:szCs w:val="24"/>
        </w:rPr>
        <w:t>Circulaire DGS du 11/01/2006 relative aux examens pré et post-transfusionnels.</w:t>
      </w:r>
    </w:p>
    <w:p w:rsidR="00B63CB4" w:rsidRPr="00B63CB4" w:rsidRDefault="00B63CB4" w:rsidP="00B63CB4">
      <w:pPr>
        <w:pStyle w:val="Paragraphedeliste"/>
        <w:numPr>
          <w:ilvl w:val="0"/>
          <w:numId w:val="12"/>
        </w:numPr>
        <w:spacing w:after="0" w:line="240" w:lineRule="auto"/>
        <w:ind w:left="709"/>
        <w:cnfStyle w:val="101000000000" w:firstRow="1" w:lastRow="0" w:firstColumn="1" w:lastColumn="0" w:oddVBand="0" w:evenVBand="0" w:oddHBand="0" w:evenHBand="0" w:firstRowFirstColumn="0" w:firstRowLastColumn="0" w:lastRowFirstColumn="0" w:lastRowLastColumn="0"/>
        <w:rPr>
          <w:rFonts w:cstheme="minorHAnsi"/>
          <w:szCs w:val="24"/>
        </w:rPr>
      </w:pPr>
      <w:r w:rsidRPr="00B63CB4">
        <w:rPr>
          <w:rFonts w:cstheme="minorHAnsi"/>
          <w:szCs w:val="24"/>
        </w:rPr>
        <w:t>Circulaire DGS/DQ4 N°98-231.</w:t>
      </w:r>
    </w:p>
    <w:p w:rsidR="00B63CB4" w:rsidRPr="00B63CB4" w:rsidRDefault="00B63CB4" w:rsidP="00B63CB4">
      <w:pPr>
        <w:pStyle w:val="Paragraphedeliste"/>
        <w:numPr>
          <w:ilvl w:val="0"/>
          <w:numId w:val="12"/>
        </w:numPr>
        <w:spacing w:after="0" w:line="240" w:lineRule="auto"/>
        <w:ind w:left="709"/>
        <w:cnfStyle w:val="101000000000" w:firstRow="1" w:lastRow="0" w:firstColumn="1" w:lastColumn="0" w:oddVBand="0" w:evenVBand="0" w:oddHBand="0" w:evenHBand="0" w:firstRowFirstColumn="0" w:firstRowLastColumn="0" w:lastRowFirstColumn="0" w:lastRowLastColumn="0"/>
        <w:rPr>
          <w:rFonts w:cstheme="minorHAnsi"/>
          <w:szCs w:val="24"/>
        </w:rPr>
      </w:pPr>
      <w:r w:rsidRPr="00B63CB4">
        <w:rPr>
          <w:rFonts w:cstheme="minorHAnsi"/>
          <w:bCs/>
          <w:szCs w:val="24"/>
        </w:rPr>
        <w:t>Loi n° 2002-303 du 4 mars 2002 relative aux droits des malades et à la qualité du système de santé</w:t>
      </w:r>
    </w:p>
    <w:p w:rsidR="00470594" w:rsidRDefault="00470594"/>
    <w:p w:rsidR="00470594" w:rsidRDefault="00470594"/>
    <w:p w:rsidR="00470594" w:rsidRDefault="00470594"/>
    <w:p w:rsidR="00470594" w:rsidRDefault="00470594"/>
    <w:tbl>
      <w:tblPr>
        <w:tblStyle w:val="TableauGrille4-Accentuation1"/>
        <w:tblpPr w:leftFromText="141" w:rightFromText="141" w:vertAnchor="text" w:horzAnchor="margin" w:tblpY="285"/>
        <w:tblW w:w="0" w:type="auto"/>
        <w:tblLook w:val="04A0" w:firstRow="1" w:lastRow="0" w:firstColumn="1" w:lastColumn="0" w:noHBand="0" w:noVBand="1"/>
      </w:tblPr>
      <w:tblGrid>
        <w:gridCol w:w="2972"/>
        <w:gridCol w:w="3119"/>
        <w:gridCol w:w="2971"/>
      </w:tblGrid>
      <w:tr w:rsidR="00E2356D" w:rsidTr="00554F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E2356D" w:rsidRDefault="00E2356D" w:rsidP="00043281">
            <w:r>
              <w:t>Rédacteur</w:t>
            </w:r>
          </w:p>
        </w:tc>
        <w:tc>
          <w:tcPr>
            <w:tcW w:w="3119" w:type="dxa"/>
          </w:tcPr>
          <w:p w:rsidR="00E2356D" w:rsidRDefault="00E2356D" w:rsidP="00043281">
            <w:pPr>
              <w:cnfStyle w:val="100000000000" w:firstRow="1" w:lastRow="0" w:firstColumn="0" w:lastColumn="0" w:oddVBand="0" w:evenVBand="0" w:oddHBand="0" w:evenHBand="0" w:firstRowFirstColumn="0" w:firstRowLastColumn="0" w:lastRowFirstColumn="0" w:lastRowLastColumn="0"/>
            </w:pPr>
            <w:r>
              <w:t>Vérificateur</w:t>
            </w:r>
          </w:p>
        </w:tc>
        <w:tc>
          <w:tcPr>
            <w:tcW w:w="2971" w:type="dxa"/>
          </w:tcPr>
          <w:p w:rsidR="00E2356D" w:rsidRDefault="00E2356D" w:rsidP="00043281">
            <w:pPr>
              <w:cnfStyle w:val="100000000000" w:firstRow="1" w:lastRow="0" w:firstColumn="0" w:lastColumn="0" w:oddVBand="0" w:evenVBand="0" w:oddHBand="0" w:evenHBand="0" w:firstRowFirstColumn="0" w:firstRowLastColumn="0" w:lastRowFirstColumn="0" w:lastRowLastColumn="0"/>
            </w:pPr>
            <w:r>
              <w:t>Approbateur</w:t>
            </w:r>
          </w:p>
        </w:tc>
      </w:tr>
      <w:tr w:rsidR="00E2356D" w:rsidTr="00554F14">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972" w:type="dxa"/>
          </w:tcPr>
          <w:p w:rsidR="00554F14" w:rsidRPr="00F72E1E" w:rsidRDefault="00554F14" w:rsidP="00554F14">
            <w:pPr>
              <w:rPr>
                <w:b w:val="0"/>
                <w:sz w:val="18"/>
              </w:rPr>
            </w:pPr>
            <w:proofErr w:type="spellStart"/>
            <w:proofErr w:type="gramStart"/>
            <w:r w:rsidRPr="00F72E1E">
              <w:rPr>
                <w:sz w:val="18"/>
              </w:rPr>
              <w:t>Dr.SAPEY</w:t>
            </w:r>
            <w:proofErr w:type="spellEnd"/>
            <w:proofErr w:type="gramEnd"/>
          </w:p>
          <w:p w:rsidR="00554F14" w:rsidRPr="00554F14" w:rsidRDefault="00554F14" w:rsidP="00554F14">
            <w:pPr>
              <w:rPr>
                <w:b w:val="0"/>
                <w:sz w:val="16"/>
              </w:rPr>
            </w:pPr>
            <w:r w:rsidRPr="00554F14">
              <w:rPr>
                <w:b w:val="0"/>
                <w:sz w:val="16"/>
              </w:rPr>
              <w:t>Coordonnateur Régional d’Hémovigilance et de Sécurité Transfusionnelle</w:t>
            </w:r>
          </w:p>
          <w:p w:rsidR="00E2356D" w:rsidRPr="00E77183" w:rsidRDefault="00E2356D" w:rsidP="00043281">
            <w:pPr>
              <w:rPr>
                <w:b w:val="0"/>
                <w:sz w:val="18"/>
              </w:rPr>
            </w:pPr>
          </w:p>
        </w:tc>
        <w:tc>
          <w:tcPr>
            <w:tcW w:w="3119" w:type="dxa"/>
          </w:tcPr>
          <w:p w:rsidR="00E2356D" w:rsidRPr="00F72E1E" w:rsidRDefault="00E2356D" w:rsidP="00043281">
            <w:pPr>
              <w:cnfStyle w:val="000000100000" w:firstRow="0" w:lastRow="0" w:firstColumn="0" w:lastColumn="0" w:oddVBand="0" w:evenVBand="0" w:oddHBand="1" w:evenHBand="0" w:firstRowFirstColumn="0" w:firstRowLastColumn="0" w:lastRowFirstColumn="0" w:lastRowLastColumn="0"/>
              <w:rPr>
                <w:b/>
                <w:sz w:val="18"/>
              </w:rPr>
            </w:pPr>
            <w:proofErr w:type="spellStart"/>
            <w:proofErr w:type="gramStart"/>
            <w:r w:rsidRPr="00F72E1E">
              <w:rPr>
                <w:b/>
                <w:sz w:val="18"/>
              </w:rPr>
              <w:t>Dr.SAPEY</w:t>
            </w:r>
            <w:proofErr w:type="spellEnd"/>
            <w:proofErr w:type="gramEnd"/>
          </w:p>
          <w:p w:rsidR="00E2356D" w:rsidRDefault="00E2356D" w:rsidP="00043281">
            <w:pPr>
              <w:cnfStyle w:val="000000100000" w:firstRow="0" w:lastRow="0" w:firstColumn="0" w:lastColumn="0" w:oddVBand="0" w:evenVBand="0" w:oddHBand="1" w:evenHBand="0" w:firstRowFirstColumn="0" w:firstRowLastColumn="0" w:lastRowFirstColumn="0" w:lastRowLastColumn="0"/>
              <w:rPr>
                <w:sz w:val="16"/>
              </w:rPr>
            </w:pPr>
            <w:r w:rsidRPr="00E77183">
              <w:rPr>
                <w:sz w:val="16"/>
              </w:rPr>
              <w:t>Coordonnateur Régional d’Hémovigilance et de Sécurité Transfusionnelle</w:t>
            </w:r>
          </w:p>
          <w:p w:rsidR="00554F14" w:rsidRPr="00554F14" w:rsidRDefault="00554F14" w:rsidP="00554F14">
            <w:pPr>
              <w:cnfStyle w:val="000000100000" w:firstRow="0" w:lastRow="0" w:firstColumn="0" w:lastColumn="0" w:oddVBand="0" w:evenVBand="0" w:oddHBand="1" w:evenHBand="0" w:firstRowFirstColumn="0" w:firstRowLastColumn="0" w:lastRowFirstColumn="0" w:lastRowLastColumn="0"/>
              <w:rPr>
                <w:b/>
                <w:sz w:val="18"/>
              </w:rPr>
            </w:pPr>
            <w:r w:rsidRPr="00554F14">
              <w:rPr>
                <w:b/>
                <w:sz w:val="18"/>
              </w:rPr>
              <w:t>Mme Marjorie BLIN</w:t>
            </w:r>
          </w:p>
          <w:p w:rsidR="00554F14" w:rsidRPr="00F72E1E" w:rsidRDefault="00554F14" w:rsidP="00554F14">
            <w:pPr>
              <w:cnfStyle w:val="000000100000" w:firstRow="0" w:lastRow="0" w:firstColumn="0" w:lastColumn="0" w:oddVBand="0" w:evenVBand="0" w:oddHBand="1" w:evenHBand="0" w:firstRowFirstColumn="0" w:firstRowLastColumn="0" w:lastRowFirstColumn="0" w:lastRowLastColumn="0"/>
              <w:rPr>
                <w:b/>
                <w:sz w:val="18"/>
              </w:rPr>
            </w:pPr>
            <w:r>
              <w:rPr>
                <w:sz w:val="16"/>
              </w:rPr>
              <w:t>Assistante</w:t>
            </w:r>
          </w:p>
        </w:tc>
        <w:tc>
          <w:tcPr>
            <w:tcW w:w="2971" w:type="dxa"/>
          </w:tcPr>
          <w:p w:rsidR="00E2356D" w:rsidRPr="00F72E1E" w:rsidRDefault="00E2356D" w:rsidP="00043281">
            <w:pPr>
              <w:cnfStyle w:val="000000100000" w:firstRow="0" w:lastRow="0" w:firstColumn="0" w:lastColumn="0" w:oddVBand="0" w:evenVBand="0" w:oddHBand="1" w:evenHBand="0" w:firstRowFirstColumn="0" w:firstRowLastColumn="0" w:lastRowFirstColumn="0" w:lastRowLastColumn="0"/>
              <w:rPr>
                <w:b/>
                <w:sz w:val="18"/>
              </w:rPr>
            </w:pPr>
            <w:proofErr w:type="spellStart"/>
            <w:proofErr w:type="gramStart"/>
            <w:r w:rsidRPr="00F72E1E">
              <w:rPr>
                <w:b/>
                <w:sz w:val="18"/>
              </w:rPr>
              <w:t>Dr.SAPEY</w:t>
            </w:r>
            <w:proofErr w:type="spellEnd"/>
            <w:proofErr w:type="gramEnd"/>
          </w:p>
          <w:p w:rsidR="00E2356D" w:rsidRPr="00E77183" w:rsidRDefault="00E2356D" w:rsidP="00043281">
            <w:pPr>
              <w:cnfStyle w:val="000000100000" w:firstRow="0" w:lastRow="0" w:firstColumn="0" w:lastColumn="0" w:oddVBand="0" w:evenVBand="0" w:oddHBand="1" w:evenHBand="0" w:firstRowFirstColumn="0" w:firstRowLastColumn="0" w:lastRowFirstColumn="0" w:lastRowLastColumn="0"/>
              <w:rPr>
                <w:sz w:val="18"/>
              </w:rPr>
            </w:pPr>
            <w:r w:rsidRPr="00E77183">
              <w:rPr>
                <w:sz w:val="16"/>
              </w:rPr>
              <w:t>Coordonnateur Régional d’Hémovigilance et de Sécurité Transfusionnelle</w:t>
            </w:r>
          </w:p>
        </w:tc>
      </w:tr>
    </w:tbl>
    <w:p w:rsidR="00470594" w:rsidRDefault="00470594"/>
    <w:p w:rsidR="00470594" w:rsidRDefault="00470594"/>
    <w:p w:rsidR="00B63CB4" w:rsidRPr="00B63CB4" w:rsidRDefault="00B63CB4" w:rsidP="00B63CB4">
      <w:pPr>
        <w:tabs>
          <w:tab w:val="left" w:leader="dot" w:pos="8280"/>
        </w:tabs>
        <w:spacing w:after="120" w:line="240" w:lineRule="auto"/>
        <w:contextualSpacing/>
        <w:cnfStyle w:val="101000000000" w:firstRow="1" w:lastRow="0" w:firstColumn="1" w:lastColumn="0" w:oddVBand="0" w:evenVBand="0" w:oddHBand="0" w:evenHBand="0" w:firstRowFirstColumn="0" w:firstRowLastColumn="0" w:lastRowFirstColumn="0" w:lastRowLastColumn="0"/>
        <w:rPr>
          <w:rFonts w:cstheme="minorHAnsi"/>
          <w:b/>
          <w:i/>
          <w:sz w:val="24"/>
          <w:u w:val="single"/>
        </w:rPr>
      </w:pPr>
      <w:r w:rsidRPr="00B63CB4">
        <w:rPr>
          <w:rFonts w:cstheme="minorHAnsi"/>
          <w:b/>
          <w:i/>
          <w:sz w:val="24"/>
          <w:u w:val="single"/>
        </w:rPr>
        <w:t>Description du processus</w:t>
      </w:r>
    </w:p>
    <w:p w:rsidR="00B63CB4" w:rsidRPr="00B63CB4" w:rsidRDefault="00B63CB4" w:rsidP="00B63CB4">
      <w:pPr>
        <w:jc w:val="both"/>
        <w:cnfStyle w:val="101000000000" w:firstRow="1" w:lastRow="0" w:firstColumn="1" w:lastColumn="0" w:oddVBand="0" w:evenVBand="0" w:oddHBand="0" w:evenHBand="0" w:firstRowFirstColumn="0" w:firstRowLastColumn="0" w:lastRowFirstColumn="0" w:lastRowLastColumn="0"/>
        <w:rPr>
          <w:rFonts w:cstheme="minorHAnsi"/>
          <w:szCs w:val="24"/>
        </w:rPr>
      </w:pPr>
      <w:r w:rsidRPr="00B63CB4">
        <w:rPr>
          <w:rFonts w:cstheme="minorHAnsi"/>
          <w:szCs w:val="24"/>
        </w:rPr>
        <w:t>Cette information est faite par le médecin prescripteur, elle doit être :</w:t>
      </w:r>
    </w:p>
    <w:p w:rsidR="00B63CB4" w:rsidRPr="00B63CB4" w:rsidRDefault="00B63CB4" w:rsidP="00B63CB4">
      <w:pPr>
        <w:pStyle w:val="Paragraphedeliste"/>
        <w:numPr>
          <w:ilvl w:val="0"/>
          <w:numId w:val="21"/>
        </w:numPr>
        <w:spacing w:after="0" w:line="240" w:lineRule="auto"/>
        <w:ind w:left="709" w:hanging="283"/>
        <w:jc w:val="both"/>
        <w:cnfStyle w:val="101000000000" w:firstRow="1" w:lastRow="0" w:firstColumn="1" w:lastColumn="0" w:oddVBand="0" w:evenVBand="0" w:oddHBand="0" w:evenHBand="0" w:firstRowFirstColumn="0" w:firstRowLastColumn="0" w:lastRowFirstColumn="0" w:lastRowLastColumn="0"/>
        <w:rPr>
          <w:rFonts w:cstheme="minorHAnsi"/>
          <w:szCs w:val="24"/>
        </w:rPr>
      </w:pPr>
      <w:r w:rsidRPr="00B63CB4">
        <w:rPr>
          <w:rFonts w:cstheme="minorHAnsi"/>
          <w:szCs w:val="24"/>
        </w:rPr>
        <w:t>Systématique, hors les cas où le patient n’est pas interrogeable ou il n’est pas en mesure de comprendre l’information.</w:t>
      </w:r>
    </w:p>
    <w:p w:rsidR="00B63CB4" w:rsidRPr="00B63CB4" w:rsidRDefault="00B63CB4" w:rsidP="00B63CB4">
      <w:pPr>
        <w:spacing w:after="0" w:line="240" w:lineRule="auto"/>
        <w:ind w:left="709" w:hanging="283"/>
        <w:contextualSpacing/>
        <w:jc w:val="both"/>
        <w:cnfStyle w:val="101000000000" w:firstRow="1" w:lastRow="0" w:firstColumn="1" w:lastColumn="0" w:oddVBand="0" w:evenVBand="0" w:oddHBand="0" w:evenHBand="0" w:firstRowFirstColumn="0" w:firstRowLastColumn="0" w:lastRowFirstColumn="0" w:lastRowLastColumn="0"/>
        <w:rPr>
          <w:rFonts w:cstheme="minorHAnsi"/>
          <w:szCs w:val="24"/>
        </w:rPr>
      </w:pPr>
    </w:p>
    <w:p w:rsidR="00B63CB4" w:rsidRPr="00B63CB4" w:rsidRDefault="00B63CB4" w:rsidP="00B63CB4">
      <w:pPr>
        <w:pStyle w:val="Paragraphedeliste"/>
        <w:numPr>
          <w:ilvl w:val="0"/>
          <w:numId w:val="21"/>
        </w:numPr>
        <w:spacing w:after="0" w:line="240" w:lineRule="auto"/>
        <w:ind w:left="709" w:hanging="283"/>
        <w:jc w:val="both"/>
        <w:cnfStyle w:val="101000000000" w:firstRow="1" w:lastRow="0" w:firstColumn="1" w:lastColumn="0" w:oddVBand="0" w:evenVBand="0" w:oddHBand="0" w:evenHBand="0" w:firstRowFirstColumn="0" w:firstRowLastColumn="0" w:lastRowFirstColumn="0" w:lastRowLastColumn="0"/>
        <w:rPr>
          <w:rFonts w:cstheme="minorHAnsi"/>
          <w:szCs w:val="24"/>
        </w:rPr>
      </w:pPr>
      <w:r w:rsidRPr="00B63CB4">
        <w:rPr>
          <w:rFonts w:cstheme="minorHAnsi"/>
          <w:szCs w:val="24"/>
        </w:rPr>
        <w:t>Donnée à l’un des détenteurs de l’autorité parentale lorsque le patient est mineur, au responsable légal si le patient est sous tutelle, …</w:t>
      </w:r>
    </w:p>
    <w:p w:rsidR="00B63CB4" w:rsidRPr="00B63CB4" w:rsidRDefault="00B63CB4" w:rsidP="00B63CB4">
      <w:pPr>
        <w:ind w:left="709" w:hanging="283"/>
        <w:jc w:val="both"/>
        <w:cnfStyle w:val="101000000000" w:firstRow="1" w:lastRow="0" w:firstColumn="1" w:lastColumn="0" w:oddVBand="0" w:evenVBand="0" w:oddHBand="0" w:evenHBand="0" w:firstRowFirstColumn="0" w:firstRowLastColumn="0" w:lastRowFirstColumn="0" w:lastRowLastColumn="0"/>
        <w:rPr>
          <w:rFonts w:cstheme="minorHAnsi"/>
          <w:szCs w:val="24"/>
        </w:rPr>
      </w:pPr>
    </w:p>
    <w:p w:rsidR="00B63CB4" w:rsidRPr="00B63CB4" w:rsidRDefault="00B63CB4" w:rsidP="00B63CB4">
      <w:pPr>
        <w:pStyle w:val="Paragraphedeliste"/>
        <w:numPr>
          <w:ilvl w:val="0"/>
          <w:numId w:val="21"/>
        </w:numPr>
        <w:spacing w:after="0" w:line="240" w:lineRule="auto"/>
        <w:ind w:left="709" w:hanging="283"/>
        <w:jc w:val="both"/>
        <w:cnfStyle w:val="101000000000" w:firstRow="1" w:lastRow="0" w:firstColumn="1" w:lastColumn="0" w:oddVBand="0" w:evenVBand="0" w:oddHBand="0" w:evenHBand="0" w:firstRowFirstColumn="0" w:firstRowLastColumn="0" w:lastRowFirstColumn="0" w:lastRowLastColumn="0"/>
        <w:rPr>
          <w:rFonts w:cstheme="minorHAnsi"/>
          <w:szCs w:val="24"/>
        </w:rPr>
      </w:pPr>
      <w:r w:rsidRPr="00B63CB4">
        <w:rPr>
          <w:rFonts w:cstheme="minorHAnsi"/>
          <w:szCs w:val="24"/>
        </w:rPr>
        <w:t xml:space="preserve">Orale et écrite (signature non obligatoire du patient), en remettant et en expliquant au patient la fiche « information systématique du patient avant une transfusion de produits sanguins labiles » </w:t>
      </w:r>
      <w:r w:rsidRPr="00B63CB4">
        <w:rPr>
          <w:rFonts w:cstheme="minorHAnsi"/>
          <w:color w:val="F4B083" w:themeColor="accent2" w:themeTint="99"/>
          <w:szCs w:val="24"/>
        </w:rPr>
        <w:t>(annexe 1)</w:t>
      </w:r>
      <w:r w:rsidRPr="00B63CB4">
        <w:rPr>
          <w:rFonts w:cstheme="minorHAnsi"/>
          <w:szCs w:val="24"/>
        </w:rPr>
        <w:t>.</w:t>
      </w:r>
      <w:r w:rsidRPr="00B63CB4">
        <w:rPr>
          <w:rFonts w:cstheme="minorHAnsi"/>
          <w:color w:val="F4B083" w:themeColor="accent2" w:themeTint="99"/>
          <w:szCs w:val="24"/>
        </w:rPr>
        <w:t xml:space="preserve"> </w:t>
      </w:r>
      <w:r w:rsidRPr="00B63CB4">
        <w:rPr>
          <w:rFonts w:cstheme="minorHAnsi"/>
          <w:szCs w:val="24"/>
        </w:rPr>
        <w:t>Un patient peut tout à fait refuser de signer l’annexe 1, mais accepter la transfusion. Il faut dans ce cas bien tracer sur le dossier médical du patient que celui-ci a été informé mais à refuser de signer le consentement.</w:t>
      </w:r>
    </w:p>
    <w:p w:rsidR="00B63CB4" w:rsidRPr="00B63CB4" w:rsidRDefault="00B63CB4" w:rsidP="00B63CB4">
      <w:pPr>
        <w:spacing w:after="200" w:line="240" w:lineRule="auto"/>
        <w:ind w:left="720"/>
        <w:contextualSpacing/>
        <w:cnfStyle w:val="101000000000" w:firstRow="1" w:lastRow="0" w:firstColumn="1" w:lastColumn="0" w:oddVBand="0" w:evenVBand="0" w:oddHBand="0" w:evenHBand="0" w:firstRowFirstColumn="0" w:firstRowLastColumn="0" w:lastRowFirstColumn="0" w:lastRowLastColumn="0"/>
        <w:rPr>
          <w:rFonts w:cstheme="minorHAnsi"/>
          <w:sz w:val="24"/>
          <w:szCs w:val="24"/>
        </w:rPr>
      </w:pPr>
    </w:p>
    <w:p w:rsidR="00B63CB4" w:rsidRPr="00B63CB4" w:rsidRDefault="00B63CB4" w:rsidP="00B63CB4">
      <w:pPr>
        <w:jc w:val="both"/>
        <w:cnfStyle w:val="101000000000" w:firstRow="1" w:lastRow="0" w:firstColumn="1" w:lastColumn="0" w:oddVBand="0" w:evenVBand="0" w:oddHBand="0" w:evenHBand="0" w:firstRowFirstColumn="0" w:firstRowLastColumn="0" w:lastRowFirstColumn="0" w:lastRowLastColumn="0"/>
        <w:rPr>
          <w:rFonts w:cstheme="minorHAnsi"/>
          <w:szCs w:val="24"/>
        </w:rPr>
      </w:pPr>
      <w:r w:rsidRPr="00B63CB4">
        <w:rPr>
          <w:rFonts w:cstheme="minorHAnsi"/>
          <w:szCs w:val="24"/>
        </w:rPr>
        <w:t>Il faut demander au patient avant de transfuser s’il a été informé par un médecin et si la réponse est négative, de demander au patient s’il veut voir un médecin avant d’être transfusé et de bien noté dans le dossier « information avant transfusion » faite par Mme ou Mr X infirmier. C’est important en cas de litige postérieur lié à la transfusion. « La charge de la preuve de l’information incombe au médecin prescripteur et non plus au patient transfusé (cour de cassation:14/10/97) »</w:t>
      </w:r>
    </w:p>
    <w:p w:rsidR="00B63CB4" w:rsidRPr="00B63CB4" w:rsidRDefault="00B63CB4" w:rsidP="00B63CB4">
      <w:pPr>
        <w:pStyle w:val="Paragraphedeliste"/>
        <w:numPr>
          <w:ilvl w:val="0"/>
          <w:numId w:val="22"/>
        </w:numPr>
        <w:spacing w:after="0" w:line="240" w:lineRule="auto"/>
        <w:ind w:left="709"/>
        <w:jc w:val="both"/>
        <w:cnfStyle w:val="101000000000" w:firstRow="1" w:lastRow="0" w:firstColumn="1" w:lastColumn="0" w:oddVBand="0" w:evenVBand="0" w:oddHBand="0" w:evenHBand="0" w:firstRowFirstColumn="0" w:firstRowLastColumn="0" w:lastRowFirstColumn="0" w:lastRowLastColumn="0"/>
        <w:rPr>
          <w:rFonts w:cstheme="minorHAnsi"/>
          <w:szCs w:val="24"/>
        </w:rPr>
      </w:pPr>
      <w:r w:rsidRPr="00B63CB4">
        <w:rPr>
          <w:rFonts w:cstheme="minorHAnsi"/>
          <w:szCs w:val="24"/>
        </w:rPr>
        <w:t>En cas de refus de transfusion, il est primordial de tracé dans le dossier du patient avec l’identité de celui qui a recueilli l’information.</w:t>
      </w:r>
    </w:p>
    <w:p w:rsidR="00B63CB4" w:rsidRPr="00B63CB4" w:rsidRDefault="00B63CB4" w:rsidP="00B63CB4">
      <w:pPr>
        <w:pStyle w:val="Paragraphedeliste"/>
        <w:spacing w:after="0" w:line="240" w:lineRule="auto"/>
        <w:ind w:left="709"/>
        <w:cnfStyle w:val="101000000000" w:firstRow="1" w:lastRow="0" w:firstColumn="1" w:lastColumn="0" w:oddVBand="0" w:evenVBand="0" w:oddHBand="0" w:evenHBand="0" w:firstRowFirstColumn="0" w:firstRowLastColumn="0" w:lastRowFirstColumn="0" w:lastRowLastColumn="0"/>
        <w:rPr>
          <w:rFonts w:cstheme="minorHAnsi"/>
          <w:szCs w:val="24"/>
        </w:rPr>
      </w:pPr>
    </w:p>
    <w:p w:rsidR="00B63CB4" w:rsidRPr="00B63CB4" w:rsidRDefault="00B63CB4" w:rsidP="00B63CB4">
      <w:pPr>
        <w:pStyle w:val="Paragraphedeliste"/>
        <w:numPr>
          <w:ilvl w:val="0"/>
          <w:numId w:val="22"/>
        </w:numPr>
        <w:spacing w:after="0" w:line="240" w:lineRule="auto"/>
        <w:ind w:left="709"/>
        <w:cnfStyle w:val="101000000000" w:firstRow="1" w:lastRow="0" w:firstColumn="1" w:lastColumn="0" w:oddVBand="0" w:evenVBand="0" w:oddHBand="0" w:evenHBand="0" w:firstRowFirstColumn="0" w:firstRowLastColumn="0" w:lastRowFirstColumn="0" w:lastRowLastColumn="0"/>
        <w:rPr>
          <w:rFonts w:cstheme="minorHAnsi"/>
          <w:szCs w:val="24"/>
        </w:rPr>
      </w:pPr>
      <w:r w:rsidRPr="00B63CB4">
        <w:rPr>
          <w:rFonts w:cstheme="minorHAnsi"/>
          <w:szCs w:val="24"/>
        </w:rPr>
        <w:t>L’urgence permet de passer outre l’absence de consentement du patient, mais la vie de la personne doit être en jeu, il ne doit exister aucune alternative thérapeutique et les actes accomplis doivent être indispensables à la survie du patient.</w:t>
      </w:r>
    </w:p>
    <w:p w:rsidR="00B63CB4" w:rsidRPr="00B63CB4" w:rsidRDefault="00B63CB4" w:rsidP="00B63CB4">
      <w:pPr>
        <w:tabs>
          <w:tab w:val="left" w:leader="dot" w:pos="8280"/>
        </w:tabs>
        <w:spacing w:after="120" w:line="240" w:lineRule="auto"/>
        <w:ind w:left="1068"/>
        <w:contextualSpacing/>
        <w:cnfStyle w:val="101000000000" w:firstRow="1" w:lastRow="0" w:firstColumn="1" w:lastColumn="0" w:oddVBand="0" w:evenVBand="0" w:oddHBand="0" w:evenHBand="0" w:firstRowFirstColumn="0" w:firstRowLastColumn="0" w:lastRowFirstColumn="0" w:lastRowLastColumn="0"/>
        <w:rPr>
          <w:rFonts w:cstheme="minorHAnsi"/>
          <w:i/>
          <w:color w:val="7030A0"/>
          <w:sz w:val="28"/>
          <w:u w:val="single"/>
        </w:rPr>
      </w:pPr>
    </w:p>
    <w:p w:rsidR="00B63CB4" w:rsidRPr="00B63CB4" w:rsidRDefault="00B63CB4" w:rsidP="002065D4">
      <w:pPr>
        <w:numPr>
          <w:ilvl w:val="0"/>
          <w:numId w:val="18"/>
        </w:numPr>
        <w:spacing w:after="0" w:line="240" w:lineRule="auto"/>
        <w:ind w:left="284"/>
        <w:contextualSpacing/>
        <w:cnfStyle w:val="101000000000" w:firstRow="1" w:lastRow="0" w:firstColumn="1" w:lastColumn="0" w:oddVBand="0" w:evenVBand="0" w:oddHBand="0" w:evenHBand="0" w:firstRowFirstColumn="0" w:firstRowLastColumn="0" w:lastRowFirstColumn="0" w:lastRowLastColumn="0"/>
        <w:rPr>
          <w:rFonts w:cstheme="minorHAnsi"/>
          <w:color w:val="0070C0"/>
          <w:sz w:val="24"/>
          <w:szCs w:val="24"/>
          <w:u w:val="single"/>
        </w:rPr>
      </w:pPr>
      <w:r w:rsidRPr="00B63CB4">
        <w:rPr>
          <w:rFonts w:cstheme="minorHAnsi"/>
          <w:color w:val="0070C0"/>
          <w:sz w:val="24"/>
          <w:szCs w:val="24"/>
          <w:u w:val="single"/>
        </w:rPr>
        <w:t>Informer le patient d’une démarche thérapeutique</w:t>
      </w:r>
    </w:p>
    <w:p w:rsidR="00B63CB4" w:rsidRPr="00B63CB4" w:rsidRDefault="00B63CB4" w:rsidP="00B63CB4">
      <w:pPr>
        <w:ind w:left="720"/>
        <w:cnfStyle w:val="101000000000" w:firstRow="1" w:lastRow="0" w:firstColumn="1" w:lastColumn="0" w:oddVBand="0" w:evenVBand="0" w:oddHBand="0" w:evenHBand="0" w:firstRowFirstColumn="0" w:firstRowLastColumn="0" w:lastRowFirstColumn="0" w:lastRowLastColumn="0"/>
        <w:rPr>
          <w:rFonts w:cstheme="minorHAnsi"/>
          <w:sz w:val="24"/>
          <w:szCs w:val="24"/>
          <w:u w:val="single"/>
        </w:rPr>
      </w:pPr>
    </w:p>
    <w:p w:rsidR="00B63CB4" w:rsidRPr="002065D4" w:rsidRDefault="00B63CB4" w:rsidP="002065D4">
      <w:pPr>
        <w:pStyle w:val="Paragraphedeliste"/>
        <w:numPr>
          <w:ilvl w:val="0"/>
          <w:numId w:val="23"/>
        </w:numPr>
        <w:spacing w:after="0" w:line="240" w:lineRule="auto"/>
        <w:ind w:left="709"/>
        <w:cnfStyle w:val="101000000000" w:firstRow="1" w:lastRow="0" w:firstColumn="1" w:lastColumn="0" w:oddVBand="0" w:evenVBand="0" w:oddHBand="0" w:evenHBand="0" w:firstRowFirstColumn="0" w:firstRowLastColumn="0" w:lastRowFirstColumn="0" w:lastRowLastColumn="0"/>
        <w:rPr>
          <w:rFonts w:cstheme="minorHAnsi"/>
          <w:szCs w:val="24"/>
        </w:rPr>
      </w:pPr>
      <w:r w:rsidRPr="002065D4">
        <w:rPr>
          <w:rFonts w:cstheme="minorHAnsi"/>
          <w:szCs w:val="24"/>
        </w:rPr>
        <w:t>Expliquer au patient les risques transfusionnels avérés et théoriques.</w:t>
      </w:r>
    </w:p>
    <w:p w:rsidR="00B63CB4" w:rsidRPr="002065D4" w:rsidRDefault="00B63CB4" w:rsidP="002065D4">
      <w:pPr>
        <w:pStyle w:val="Paragraphedeliste"/>
        <w:numPr>
          <w:ilvl w:val="0"/>
          <w:numId w:val="23"/>
        </w:numPr>
        <w:spacing w:after="0" w:line="240" w:lineRule="auto"/>
        <w:ind w:left="709"/>
        <w:cnfStyle w:val="101000000000" w:firstRow="1" w:lastRow="0" w:firstColumn="1" w:lastColumn="0" w:oddVBand="0" w:evenVBand="0" w:oddHBand="0" w:evenHBand="0" w:firstRowFirstColumn="0" w:firstRowLastColumn="0" w:lastRowFirstColumn="0" w:lastRowLastColumn="0"/>
        <w:rPr>
          <w:rFonts w:cstheme="minorHAnsi"/>
          <w:szCs w:val="24"/>
        </w:rPr>
      </w:pPr>
      <w:r w:rsidRPr="002065D4">
        <w:rPr>
          <w:rFonts w:cstheme="minorHAnsi"/>
          <w:szCs w:val="24"/>
        </w:rPr>
        <w:t xml:space="preserve">Remettre au patient la fiche « Information systématique du patient avant une transfusion de PSL » accompagnée des explications nécessaires </w:t>
      </w:r>
      <w:r w:rsidRPr="002065D4">
        <w:rPr>
          <w:rFonts w:cstheme="minorHAnsi"/>
          <w:i/>
          <w:color w:val="F4B083" w:themeColor="accent2" w:themeTint="99"/>
          <w:szCs w:val="24"/>
        </w:rPr>
        <w:t>(annexe 1)</w:t>
      </w:r>
      <w:r w:rsidRPr="002065D4">
        <w:rPr>
          <w:rFonts w:cstheme="minorHAnsi"/>
          <w:i/>
          <w:szCs w:val="24"/>
        </w:rPr>
        <w:t>.</w:t>
      </w:r>
    </w:p>
    <w:p w:rsidR="00B63CB4" w:rsidRPr="00B63CB4" w:rsidRDefault="00B63CB4" w:rsidP="00B63CB4">
      <w:pPr>
        <w:spacing w:after="0" w:line="240" w:lineRule="auto"/>
        <w:ind w:left="1596"/>
        <w:contextualSpacing/>
        <w:cnfStyle w:val="101000000000" w:firstRow="1" w:lastRow="0" w:firstColumn="1" w:lastColumn="0" w:oddVBand="0" w:evenVBand="0" w:oddHBand="0" w:evenHBand="0" w:firstRowFirstColumn="0" w:firstRowLastColumn="0" w:lastRowFirstColumn="0" w:lastRowLastColumn="0"/>
        <w:rPr>
          <w:rFonts w:cstheme="minorHAnsi"/>
          <w:sz w:val="24"/>
          <w:szCs w:val="24"/>
        </w:rPr>
      </w:pPr>
    </w:p>
    <w:p w:rsidR="00B63CB4" w:rsidRPr="00B63CB4" w:rsidRDefault="00B63CB4" w:rsidP="00B63CB4">
      <w:pPr>
        <w:ind w:left="720"/>
        <w:jc w:val="both"/>
        <w:cnfStyle w:val="101000000000" w:firstRow="1" w:lastRow="0" w:firstColumn="1" w:lastColumn="0" w:oddVBand="0" w:evenVBand="0" w:oddHBand="0" w:evenHBand="0" w:firstRowFirstColumn="0" w:firstRowLastColumn="0" w:lastRowFirstColumn="0" w:lastRowLastColumn="0"/>
        <w:rPr>
          <w:rFonts w:cstheme="minorHAnsi"/>
          <w:sz w:val="24"/>
          <w:szCs w:val="24"/>
        </w:rPr>
      </w:pPr>
    </w:p>
    <w:p w:rsidR="00B63CB4" w:rsidRPr="00B63CB4" w:rsidRDefault="00B63CB4" w:rsidP="002065D4">
      <w:pPr>
        <w:numPr>
          <w:ilvl w:val="0"/>
          <w:numId w:val="18"/>
        </w:numPr>
        <w:spacing w:after="0" w:line="240" w:lineRule="auto"/>
        <w:ind w:left="426"/>
        <w:contextualSpacing/>
        <w:cnfStyle w:val="101000000000" w:firstRow="1" w:lastRow="0" w:firstColumn="1" w:lastColumn="0" w:oddVBand="0" w:evenVBand="0" w:oddHBand="0" w:evenHBand="0" w:firstRowFirstColumn="0" w:firstRowLastColumn="0" w:lastRowFirstColumn="0" w:lastRowLastColumn="0"/>
        <w:rPr>
          <w:rFonts w:cstheme="minorHAnsi"/>
          <w:sz w:val="24"/>
          <w:szCs w:val="24"/>
          <w:u w:val="single"/>
        </w:rPr>
      </w:pPr>
      <w:r w:rsidRPr="00B63CB4">
        <w:rPr>
          <w:rFonts w:cstheme="minorHAnsi"/>
          <w:color w:val="0070C0"/>
          <w:sz w:val="24"/>
          <w:szCs w:val="24"/>
          <w:u w:val="single"/>
        </w:rPr>
        <w:t xml:space="preserve">Obtenir le consentement ou non du patient pour la transfusion </w:t>
      </w:r>
    </w:p>
    <w:p w:rsidR="00B63CB4" w:rsidRPr="00B63CB4" w:rsidRDefault="00B63CB4" w:rsidP="00B63CB4">
      <w:pPr>
        <w:ind w:left="720"/>
        <w:cnfStyle w:val="101000000000" w:firstRow="1" w:lastRow="0" w:firstColumn="1" w:lastColumn="0" w:oddVBand="0" w:evenVBand="0" w:oddHBand="0" w:evenHBand="0" w:firstRowFirstColumn="0" w:firstRowLastColumn="0" w:lastRowFirstColumn="0" w:lastRowLastColumn="0"/>
        <w:rPr>
          <w:rFonts w:cstheme="minorHAnsi"/>
          <w:sz w:val="24"/>
          <w:szCs w:val="24"/>
          <w:u w:val="single"/>
        </w:rPr>
      </w:pPr>
    </w:p>
    <w:p w:rsidR="00B63CB4" w:rsidRPr="002065D4" w:rsidRDefault="00B63CB4" w:rsidP="002065D4">
      <w:pPr>
        <w:pStyle w:val="Paragraphedeliste"/>
        <w:numPr>
          <w:ilvl w:val="0"/>
          <w:numId w:val="24"/>
        </w:numPr>
        <w:spacing w:after="0" w:line="240" w:lineRule="auto"/>
        <w:ind w:left="709"/>
        <w:cnfStyle w:val="101000000000" w:firstRow="1" w:lastRow="0" w:firstColumn="1" w:lastColumn="0" w:oddVBand="0" w:evenVBand="0" w:oddHBand="0" w:evenHBand="0" w:firstRowFirstColumn="0" w:firstRowLastColumn="0" w:lastRowFirstColumn="0" w:lastRowLastColumn="0"/>
        <w:rPr>
          <w:rFonts w:cstheme="minorHAnsi"/>
          <w:szCs w:val="24"/>
        </w:rPr>
      </w:pPr>
      <w:r w:rsidRPr="002065D4">
        <w:rPr>
          <w:rFonts w:cstheme="minorHAnsi"/>
          <w:szCs w:val="24"/>
        </w:rPr>
        <w:t xml:space="preserve">Faire remplir au patient le formulaire « Information systématique du patient avant une transfusion de PSL » </w:t>
      </w:r>
      <w:r w:rsidRPr="002065D4">
        <w:rPr>
          <w:rFonts w:cstheme="minorHAnsi"/>
          <w:i/>
          <w:color w:val="F4B083" w:themeColor="accent2" w:themeTint="99"/>
          <w:szCs w:val="24"/>
        </w:rPr>
        <w:t>(annexe 1)</w:t>
      </w:r>
      <w:r w:rsidRPr="002065D4">
        <w:rPr>
          <w:rFonts w:cstheme="minorHAnsi"/>
          <w:i/>
          <w:szCs w:val="24"/>
        </w:rPr>
        <w:t>.</w:t>
      </w:r>
    </w:p>
    <w:p w:rsidR="00B63CB4" w:rsidRPr="002065D4" w:rsidRDefault="00B63CB4" w:rsidP="002065D4">
      <w:pPr>
        <w:pStyle w:val="Paragraphedeliste"/>
        <w:numPr>
          <w:ilvl w:val="0"/>
          <w:numId w:val="24"/>
        </w:numPr>
        <w:spacing w:after="0" w:line="240" w:lineRule="auto"/>
        <w:ind w:left="709"/>
        <w:cnfStyle w:val="101000000000" w:firstRow="1" w:lastRow="0" w:firstColumn="1" w:lastColumn="0" w:oddVBand="0" w:evenVBand="0" w:oddHBand="0" w:evenHBand="0" w:firstRowFirstColumn="0" w:firstRowLastColumn="0" w:lastRowFirstColumn="0" w:lastRowLastColumn="0"/>
        <w:rPr>
          <w:rFonts w:cstheme="minorHAnsi"/>
          <w:szCs w:val="24"/>
        </w:rPr>
      </w:pPr>
      <w:r w:rsidRPr="002065D4">
        <w:rPr>
          <w:rFonts w:cstheme="minorHAnsi"/>
          <w:szCs w:val="24"/>
        </w:rPr>
        <w:t>Dans certains cas, le médecin complète la partie appropriée.</w:t>
      </w:r>
    </w:p>
    <w:p w:rsidR="00B63CB4" w:rsidRDefault="00B63CB4" w:rsidP="00B63CB4">
      <w:pPr>
        <w:ind w:left="720"/>
        <w:jc w:val="both"/>
        <w:cnfStyle w:val="101000000000" w:firstRow="1" w:lastRow="0" w:firstColumn="1" w:lastColumn="0" w:oddVBand="0" w:evenVBand="0" w:oddHBand="0" w:evenHBand="0" w:firstRowFirstColumn="0" w:firstRowLastColumn="0" w:lastRowFirstColumn="0" w:lastRowLastColumn="0"/>
        <w:rPr>
          <w:rFonts w:ascii="Arial" w:hAnsi="Arial" w:cs="Arial"/>
          <w:sz w:val="24"/>
          <w:szCs w:val="24"/>
        </w:rPr>
      </w:pPr>
    </w:p>
    <w:p w:rsidR="002065D4" w:rsidRDefault="002065D4" w:rsidP="00B63CB4">
      <w:pPr>
        <w:ind w:left="720"/>
        <w:jc w:val="both"/>
        <w:cnfStyle w:val="101000000000" w:firstRow="1" w:lastRow="0" w:firstColumn="1" w:lastColumn="0" w:oddVBand="0" w:evenVBand="0" w:oddHBand="0" w:evenHBand="0" w:firstRowFirstColumn="0" w:firstRowLastColumn="0" w:lastRowFirstColumn="0" w:lastRowLastColumn="0"/>
        <w:rPr>
          <w:rFonts w:ascii="Arial" w:hAnsi="Arial" w:cs="Arial"/>
          <w:sz w:val="24"/>
          <w:szCs w:val="24"/>
        </w:rPr>
      </w:pPr>
    </w:p>
    <w:p w:rsidR="002065D4" w:rsidRPr="00B63CB4" w:rsidRDefault="002065D4" w:rsidP="00B63CB4">
      <w:pPr>
        <w:ind w:left="720"/>
        <w:jc w:val="both"/>
        <w:cnfStyle w:val="101000000000" w:firstRow="1" w:lastRow="0" w:firstColumn="1" w:lastColumn="0" w:oddVBand="0" w:evenVBand="0" w:oddHBand="0" w:evenHBand="0" w:firstRowFirstColumn="0" w:firstRowLastColumn="0" w:lastRowFirstColumn="0" w:lastRowLastColumn="0"/>
        <w:rPr>
          <w:rFonts w:ascii="Arial" w:hAnsi="Arial" w:cs="Arial"/>
          <w:sz w:val="24"/>
          <w:szCs w:val="24"/>
        </w:rPr>
      </w:pPr>
    </w:p>
    <w:p w:rsidR="00B63CB4" w:rsidRPr="00B63CB4" w:rsidRDefault="00B63CB4" w:rsidP="00B63CB4">
      <w:pPr>
        <w:ind w:left="720"/>
        <w:jc w:val="both"/>
        <w:cnfStyle w:val="101000000000" w:firstRow="1" w:lastRow="0" w:firstColumn="1" w:lastColumn="0" w:oddVBand="0" w:evenVBand="0" w:oddHBand="0" w:evenHBand="0" w:firstRowFirstColumn="0" w:firstRowLastColumn="0" w:lastRowFirstColumn="0" w:lastRowLastColumn="0"/>
        <w:rPr>
          <w:rFonts w:ascii="Arial" w:hAnsi="Arial" w:cs="Arial"/>
          <w:sz w:val="24"/>
          <w:szCs w:val="24"/>
        </w:rPr>
      </w:pPr>
    </w:p>
    <w:p w:rsidR="00B63CB4" w:rsidRPr="00B63CB4" w:rsidRDefault="00B63CB4" w:rsidP="002065D4">
      <w:pPr>
        <w:numPr>
          <w:ilvl w:val="0"/>
          <w:numId w:val="18"/>
        </w:numPr>
        <w:ind w:left="426"/>
        <w:jc w:val="both"/>
        <w:cnfStyle w:val="101000000000" w:firstRow="1" w:lastRow="0" w:firstColumn="1" w:lastColumn="0" w:oddVBand="0" w:evenVBand="0" w:oddHBand="0" w:evenHBand="0" w:firstRowFirstColumn="0" w:firstRowLastColumn="0" w:lastRowFirstColumn="0" w:lastRowLastColumn="0"/>
        <w:rPr>
          <w:rFonts w:cstheme="minorHAnsi"/>
          <w:color w:val="0070C0"/>
          <w:sz w:val="24"/>
          <w:szCs w:val="24"/>
          <w:u w:val="single"/>
        </w:rPr>
      </w:pPr>
      <w:r w:rsidRPr="00B63CB4">
        <w:rPr>
          <w:rFonts w:cstheme="minorHAnsi"/>
          <w:color w:val="0070C0"/>
          <w:sz w:val="24"/>
          <w:szCs w:val="24"/>
          <w:u w:val="single"/>
        </w:rPr>
        <w:t>Informer le patient sur le suivi post-transfusionnel.</w:t>
      </w:r>
    </w:p>
    <w:p w:rsidR="00B63CB4" w:rsidRPr="00B63CB4" w:rsidRDefault="00B63CB4" w:rsidP="00B63CB4">
      <w:pPr>
        <w:ind w:left="720"/>
        <w:jc w:val="both"/>
        <w:cnfStyle w:val="101000000000" w:firstRow="1" w:lastRow="0" w:firstColumn="1" w:lastColumn="0" w:oddVBand="0" w:evenVBand="0" w:oddHBand="0" w:evenHBand="0" w:firstRowFirstColumn="0" w:firstRowLastColumn="0" w:lastRowFirstColumn="0" w:lastRowLastColumn="0"/>
        <w:rPr>
          <w:rFonts w:cstheme="minorHAnsi"/>
          <w:color w:val="0070C0"/>
          <w:sz w:val="24"/>
          <w:szCs w:val="24"/>
          <w:u w:val="single"/>
        </w:rPr>
      </w:pPr>
    </w:p>
    <w:p w:rsidR="00B63CB4" w:rsidRPr="002065D4" w:rsidRDefault="00B63CB4" w:rsidP="002065D4">
      <w:pPr>
        <w:pStyle w:val="Paragraphedeliste"/>
        <w:numPr>
          <w:ilvl w:val="0"/>
          <w:numId w:val="25"/>
        </w:numPr>
        <w:spacing w:after="0" w:line="240" w:lineRule="auto"/>
        <w:ind w:left="709" w:hanging="502"/>
        <w:jc w:val="both"/>
        <w:cnfStyle w:val="101000000000" w:firstRow="1" w:lastRow="0" w:firstColumn="1" w:lastColumn="0" w:oddVBand="0" w:evenVBand="0" w:oddHBand="0" w:evenHBand="0" w:firstRowFirstColumn="0" w:firstRowLastColumn="0" w:lastRowFirstColumn="0" w:lastRowLastColumn="0"/>
        <w:rPr>
          <w:rFonts w:cstheme="minorHAnsi"/>
          <w:szCs w:val="24"/>
        </w:rPr>
      </w:pPr>
      <w:r w:rsidRPr="002065D4">
        <w:rPr>
          <w:rFonts w:cstheme="minorHAnsi"/>
          <w:szCs w:val="24"/>
        </w:rPr>
        <w:t>Lui remettre à sa sortie :</w:t>
      </w:r>
    </w:p>
    <w:p w:rsidR="00B63CB4" w:rsidRPr="002065D4" w:rsidRDefault="00B63CB4" w:rsidP="002065D4">
      <w:pPr>
        <w:pStyle w:val="Paragraphedeliste"/>
        <w:numPr>
          <w:ilvl w:val="0"/>
          <w:numId w:val="26"/>
        </w:numPr>
        <w:spacing w:after="0" w:line="240" w:lineRule="auto"/>
        <w:ind w:left="1276" w:hanging="283"/>
        <w:jc w:val="both"/>
        <w:cnfStyle w:val="101000000000" w:firstRow="1" w:lastRow="0" w:firstColumn="1" w:lastColumn="0" w:oddVBand="0" w:evenVBand="0" w:oddHBand="0" w:evenHBand="0" w:firstRowFirstColumn="0" w:firstRowLastColumn="0" w:lastRowFirstColumn="0" w:lastRowLastColumn="0"/>
        <w:rPr>
          <w:rFonts w:cstheme="minorHAnsi"/>
          <w:szCs w:val="24"/>
        </w:rPr>
      </w:pPr>
      <w:r w:rsidRPr="002065D4">
        <w:rPr>
          <w:rFonts w:cstheme="minorHAnsi"/>
          <w:szCs w:val="24"/>
        </w:rPr>
        <w:t xml:space="preserve">Un courrier d’information sur les PSL reçus. </w:t>
      </w:r>
      <w:r w:rsidRPr="002065D4">
        <w:rPr>
          <w:rFonts w:cstheme="minorHAnsi"/>
          <w:i/>
          <w:color w:val="F4B083" w:themeColor="accent2" w:themeTint="99"/>
          <w:szCs w:val="24"/>
        </w:rPr>
        <w:t>(</w:t>
      </w:r>
      <w:proofErr w:type="gramStart"/>
      <w:r w:rsidRPr="002065D4">
        <w:rPr>
          <w:rFonts w:cstheme="minorHAnsi"/>
          <w:i/>
          <w:color w:val="F4B083" w:themeColor="accent2" w:themeTint="99"/>
          <w:szCs w:val="24"/>
        </w:rPr>
        <w:t>annexe</w:t>
      </w:r>
      <w:proofErr w:type="gramEnd"/>
      <w:r w:rsidRPr="002065D4">
        <w:rPr>
          <w:rFonts w:cstheme="minorHAnsi"/>
          <w:i/>
          <w:color w:val="F4B083" w:themeColor="accent2" w:themeTint="99"/>
          <w:szCs w:val="24"/>
        </w:rPr>
        <w:t xml:space="preserve"> 2)</w:t>
      </w:r>
    </w:p>
    <w:p w:rsidR="00B63CB4" w:rsidRPr="00B63CB4" w:rsidRDefault="00B63CB4" w:rsidP="00B63CB4">
      <w:pPr>
        <w:spacing w:after="0" w:line="240" w:lineRule="auto"/>
        <w:ind w:left="1800"/>
        <w:contextualSpacing/>
        <w:jc w:val="both"/>
        <w:cnfStyle w:val="101000000000" w:firstRow="1" w:lastRow="0" w:firstColumn="1" w:lastColumn="0" w:oddVBand="0" w:evenVBand="0" w:oddHBand="0" w:evenHBand="0" w:firstRowFirstColumn="0" w:firstRowLastColumn="0" w:lastRowFirstColumn="0" w:lastRowLastColumn="0"/>
        <w:rPr>
          <w:rFonts w:cstheme="minorHAnsi"/>
          <w:szCs w:val="24"/>
        </w:rPr>
      </w:pPr>
    </w:p>
    <w:p w:rsidR="00B63CB4" w:rsidRPr="00B63CB4" w:rsidRDefault="00B63CB4" w:rsidP="002065D4">
      <w:pPr>
        <w:jc w:val="both"/>
        <w:cnfStyle w:val="101000000000" w:firstRow="1" w:lastRow="0" w:firstColumn="1" w:lastColumn="0" w:oddVBand="0" w:evenVBand="0" w:oddHBand="0" w:evenHBand="0" w:firstRowFirstColumn="0" w:firstRowLastColumn="0" w:lastRowFirstColumn="0" w:lastRowLastColumn="0"/>
        <w:rPr>
          <w:rFonts w:cstheme="minorHAnsi"/>
          <w:szCs w:val="24"/>
        </w:rPr>
      </w:pPr>
      <w:r w:rsidRPr="00B63CB4">
        <w:rPr>
          <w:rFonts w:cstheme="minorHAnsi"/>
          <w:szCs w:val="24"/>
        </w:rPr>
        <w:t>Ce document identifié au nom du patient comportera : les dates d’hospitalisation, les dates de transfusion, la nature et la quantité des produits transfusés.</w:t>
      </w:r>
    </w:p>
    <w:p w:rsidR="00B63CB4" w:rsidRPr="00B63CB4" w:rsidRDefault="00B63CB4" w:rsidP="00B63CB4">
      <w:pPr>
        <w:ind w:left="1080"/>
        <w:jc w:val="both"/>
        <w:cnfStyle w:val="101000000000" w:firstRow="1" w:lastRow="0" w:firstColumn="1" w:lastColumn="0" w:oddVBand="0" w:evenVBand="0" w:oddHBand="0" w:evenHBand="0" w:firstRowFirstColumn="0" w:firstRowLastColumn="0" w:lastRowFirstColumn="0" w:lastRowLastColumn="0"/>
        <w:rPr>
          <w:rFonts w:cstheme="minorHAnsi"/>
          <w:szCs w:val="24"/>
        </w:rPr>
      </w:pPr>
    </w:p>
    <w:p w:rsidR="00B63CB4" w:rsidRPr="002065D4" w:rsidRDefault="00B63CB4" w:rsidP="002065D4">
      <w:pPr>
        <w:pStyle w:val="Paragraphedeliste"/>
        <w:numPr>
          <w:ilvl w:val="0"/>
          <w:numId w:val="26"/>
        </w:numPr>
        <w:spacing w:after="0" w:line="240" w:lineRule="auto"/>
        <w:ind w:left="1276"/>
        <w:jc w:val="both"/>
        <w:cnfStyle w:val="101000000000" w:firstRow="1" w:lastRow="0" w:firstColumn="1" w:lastColumn="0" w:oddVBand="0" w:evenVBand="0" w:oddHBand="0" w:evenHBand="0" w:firstRowFirstColumn="0" w:firstRowLastColumn="0" w:lastRowFirstColumn="0" w:lastRowLastColumn="0"/>
        <w:rPr>
          <w:rFonts w:cstheme="minorHAnsi"/>
          <w:szCs w:val="24"/>
        </w:rPr>
      </w:pPr>
      <w:r w:rsidRPr="002065D4">
        <w:rPr>
          <w:rFonts w:cstheme="minorHAnsi"/>
          <w:szCs w:val="24"/>
        </w:rPr>
        <w:t xml:space="preserve">Une ordonnance de suivi post-transfusionnel pour les RAI </w:t>
      </w:r>
      <w:r w:rsidRPr="002065D4">
        <w:rPr>
          <w:rFonts w:cstheme="minorHAnsi"/>
          <w:i/>
          <w:color w:val="F4B083" w:themeColor="accent2" w:themeTint="99"/>
          <w:szCs w:val="24"/>
        </w:rPr>
        <w:t>(annexe 3)</w:t>
      </w:r>
      <w:r w:rsidRPr="002065D4">
        <w:rPr>
          <w:rFonts w:cstheme="minorHAnsi"/>
          <w:i/>
          <w:szCs w:val="24"/>
        </w:rPr>
        <w:t>,</w:t>
      </w:r>
      <w:r w:rsidRPr="002065D4">
        <w:rPr>
          <w:rFonts w:cstheme="minorHAnsi"/>
          <w:color w:val="F4B083" w:themeColor="accent2" w:themeTint="99"/>
          <w:szCs w:val="24"/>
        </w:rPr>
        <w:t xml:space="preserve"> </w:t>
      </w:r>
      <w:r w:rsidRPr="002065D4">
        <w:rPr>
          <w:rFonts w:cstheme="minorHAnsi"/>
          <w:szCs w:val="24"/>
        </w:rPr>
        <w:t>à l’en tête de l’établissement de soins et du service ou a été effectué la dernière transfusion. Il doit être indiqué sur cette ordonnance d’envoyer une copie des résultats au médecin traitant, au correspondant hémovigilance de l’ES et au responsable du site EFS dont dépend l’établissement de soins.</w:t>
      </w:r>
    </w:p>
    <w:p w:rsidR="00B63CB4" w:rsidRPr="002065D4" w:rsidRDefault="00B63CB4" w:rsidP="002065D4">
      <w:pPr>
        <w:pStyle w:val="Paragraphedeliste"/>
        <w:numPr>
          <w:ilvl w:val="0"/>
          <w:numId w:val="17"/>
        </w:numPr>
        <w:spacing w:after="0" w:line="240" w:lineRule="auto"/>
        <w:ind w:left="1276"/>
        <w:jc w:val="both"/>
        <w:cnfStyle w:val="101000000000" w:firstRow="1" w:lastRow="0" w:firstColumn="1" w:lastColumn="0" w:oddVBand="0" w:evenVBand="0" w:oddHBand="0" w:evenHBand="0" w:firstRowFirstColumn="0" w:firstRowLastColumn="0" w:lastRowFirstColumn="0" w:lastRowLastColumn="0"/>
        <w:rPr>
          <w:rFonts w:cstheme="minorHAnsi"/>
          <w:szCs w:val="24"/>
        </w:rPr>
      </w:pPr>
      <w:r w:rsidRPr="002065D4">
        <w:rPr>
          <w:rFonts w:cstheme="minorHAnsi"/>
          <w:szCs w:val="24"/>
        </w:rPr>
        <w:t xml:space="preserve">Ses 2 </w:t>
      </w:r>
      <w:r w:rsidRPr="002065D4">
        <w:rPr>
          <w:rFonts w:cstheme="minorHAnsi"/>
          <w:szCs w:val="20"/>
        </w:rPr>
        <w:t xml:space="preserve">déterminations </w:t>
      </w:r>
      <w:proofErr w:type="spellStart"/>
      <w:r w:rsidRPr="002065D4">
        <w:rPr>
          <w:rFonts w:cstheme="minorHAnsi"/>
          <w:szCs w:val="20"/>
        </w:rPr>
        <w:t>phénotypage</w:t>
      </w:r>
      <w:proofErr w:type="spellEnd"/>
      <w:r w:rsidRPr="002065D4">
        <w:rPr>
          <w:rFonts w:cstheme="minorHAnsi"/>
          <w:szCs w:val="20"/>
        </w:rPr>
        <w:t xml:space="preserve"> érythrocytaire ABO RHKEL1</w:t>
      </w:r>
    </w:p>
    <w:p w:rsidR="00B63CB4" w:rsidRPr="00B63CB4" w:rsidRDefault="00B63CB4" w:rsidP="002065D4">
      <w:pPr>
        <w:numPr>
          <w:ilvl w:val="0"/>
          <w:numId w:val="17"/>
        </w:numPr>
        <w:spacing w:after="0" w:line="240" w:lineRule="auto"/>
        <w:ind w:left="1276"/>
        <w:contextualSpacing/>
        <w:jc w:val="both"/>
        <w:cnfStyle w:val="101000000000" w:firstRow="1" w:lastRow="0" w:firstColumn="1" w:lastColumn="0" w:oddVBand="0" w:evenVBand="0" w:oddHBand="0" w:evenHBand="0" w:firstRowFirstColumn="0" w:firstRowLastColumn="0" w:lastRowFirstColumn="0" w:lastRowLastColumn="0"/>
        <w:rPr>
          <w:rFonts w:cstheme="minorHAnsi"/>
          <w:szCs w:val="24"/>
        </w:rPr>
      </w:pPr>
      <w:r w:rsidRPr="00B63CB4">
        <w:rPr>
          <w:rFonts w:cstheme="minorHAnsi"/>
          <w:szCs w:val="24"/>
        </w:rPr>
        <w:t xml:space="preserve">Informer le patient que son médecin traitant sera avisé de cette démarche </w:t>
      </w:r>
      <w:r w:rsidRPr="00B63CB4">
        <w:rPr>
          <w:rFonts w:cstheme="minorHAnsi"/>
          <w:i/>
          <w:color w:val="F4B083" w:themeColor="accent2" w:themeTint="99"/>
          <w:szCs w:val="24"/>
        </w:rPr>
        <w:t>(annexe 4)</w:t>
      </w:r>
    </w:p>
    <w:p w:rsidR="00B63CB4" w:rsidRPr="00B63CB4" w:rsidRDefault="00B63CB4" w:rsidP="002065D4">
      <w:pPr>
        <w:ind w:left="1276"/>
        <w:jc w:val="both"/>
        <w:cnfStyle w:val="101000000000" w:firstRow="1" w:lastRow="0" w:firstColumn="1" w:lastColumn="0" w:oddVBand="0" w:evenVBand="0" w:oddHBand="0" w:evenHBand="0" w:firstRowFirstColumn="0" w:firstRowLastColumn="0" w:lastRowFirstColumn="0" w:lastRowLastColumn="0"/>
        <w:rPr>
          <w:rFonts w:cstheme="minorHAnsi"/>
          <w:szCs w:val="24"/>
          <w:u w:val="single"/>
        </w:rPr>
      </w:pPr>
    </w:p>
    <w:p w:rsidR="00B63CB4" w:rsidRPr="00B63CB4" w:rsidRDefault="00B63CB4" w:rsidP="002065D4">
      <w:pPr>
        <w:numPr>
          <w:ilvl w:val="0"/>
          <w:numId w:val="18"/>
        </w:numPr>
        <w:ind w:left="426"/>
        <w:jc w:val="both"/>
        <w:cnfStyle w:val="101000000000" w:firstRow="1" w:lastRow="0" w:firstColumn="1" w:lastColumn="0" w:oddVBand="0" w:evenVBand="0" w:oddHBand="0" w:evenHBand="0" w:firstRowFirstColumn="0" w:firstRowLastColumn="0" w:lastRowFirstColumn="0" w:lastRowLastColumn="0"/>
        <w:rPr>
          <w:rFonts w:cstheme="minorHAnsi"/>
          <w:color w:val="0070C0"/>
          <w:sz w:val="24"/>
          <w:szCs w:val="24"/>
          <w:u w:val="single"/>
        </w:rPr>
      </w:pPr>
      <w:r w:rsidRPr="00B63CB4">
        <w:rPr>
          <w:rFonts w:cstheme="minorHAnsi"/>
          <w:color w:val="0070C0"/>
          <w:sz w:val="24"/>
          <w:szCs w:val="24"/>
          <w:u w:val="single"/>
        </w:rPr>
        <w:t>Classer dans le dossier transfusionnel :</w:t>
      </w:r>
    </w:p>
    <w:p w:rsidR="00B63CB4" w:rsidRPr="00B63CB4" w:rsidRDefault="00B63CB4" w:rsidP="002065D4">
      <w:pPr>
        <w:numPr>
          <w:ilvl w:val="0"/>
          <w:numId w:val="17"/>
        </w:numPr>
        <w:spacing w:after="0" w:line="240" w:lineRule="auto"/>
        <w:ind w:left="1276"/>
        <w:contextualSpacing/>
        <w:jc w:val="both"/>
        <w:cnfStyle w:val="101000000000" w:firstRow="1" w:lastRow="0" w:firstColumn="1" w:lastColumn="0" w:oddVBand="0" w:evenVBand="0" w:oddHBand="0" w:evenHBand="0" w:firstRowFirstColumn="0" w:firstRowLastColumn="0" w:lastRowFirstColumn="0" w:lastRowLastColumn="0"/>
        <w:rPr>
          <w:rFonts w:cstheme="minorHAnsi"/>
          <w:szCs w:val="24"/>
        </w:rPr>
      </w:pPr>
      <w:r w:rsidRPr="00B63CB4">
        <w:rPr>
          <w:rFonts w:cstheme="minorHAnsi"/>
          <w:szCs w:val="24"/>
        </w:rPr>
        <w:t xml:space="preserve">Le formulaire d’information complété par le patient </w:t>
      </w:r>
      <w:r w:rsidRPr="00B63CB4">
        <w:rPr>
          <w:rFonts w:cstheme="minorHAnsi"/>
          <w:i/>
          <w:color w:val="F4B083" w:themeColor="accent2" w:themeTint="99"/>
          <w:szCs w:val="24"/>
        </w:rPr>
        <w:t>(annexe 1)</w:t>
      </w:r>
    </w:p>
    <w:p w:rsidR="00B63CB4" w:rsidRPr="00B63CB4" w:rsidRDefault="00B63CB4" w:rsidP="002065D4">
      <w:pPr>
        <w:numPr>
          <w:ilvl w:val="0"/>
          <w:numId w:val="17"/>
        </w:numPr>
        <w:spacing w:after="0" w:line="240" w:lineRule="auto"/>
        <w:ind w:left="1276"/>
        <w:contextualSpacing/>
        <w:jc w:val="both"/>
        <w:cnfStyle w:val="101000000000" w:firstRow="1" w:lastRow="0" w:firstColumn="1" w:lastColumn="0" w:oddVBand="0" w:evenVBand="0" w:oddHBand="0" w:evenHBand="0" w:firstRowFirstColumn="0" w:firstRowLastColumn="0" w:lastRowFirstColumn="0" w:lastRowLastColumn="0"/>
        <w:rPr>
          <w:rFonts w:cstheme="minorHAnsi"/>
          <w:szCs w:val="24"/>
        </w:rPr>
      </w:pPr>
      <w:r w:rsidRPr="00B63CB4">
        <w:rPr>
          <w:rFonts w:cstheme="minorHAnsi"/>
          <w:szCs w:val="24"/>
        </w:rPr>
        <w:t xml:space="preserve">Une copie du courrier d’information sur les PSL reçus. </w:t>
      </w:r>
      <w:r w:rsidRPr="00B63CB4">
        <w:rPr>
          <w:rFonts w:cstheme="minorHAnsi"/>
          <w:i/>
          <w:color w:val="F4B083" w:themeColor="accent2" w:themeTint="99"/>
          <w:szCs w:val="24"/>
        </w:rPr>
        <w:t>(</w:t>
      </w:r>
      <w:proofErr w:type="gramStart"/>
      <w:r w:rsidRPr="00B63CB4">
        <w:rPr>
          <w:rFonts w:cstheme="minorHAnsi"/>
          <w:i/>
          <w:color w:val="F4B083" w:themeColor="accent2" w:themeTint="99"/>
          <w:szCs w:val="24"/>
        </w:rPr>
        <w:t>annexe</w:t>
      </w:r>
      <w:proofErr w:type="gramEnd"/>
      <w:r w:rsidRPr="00B63CB4">
        <w:rPr>
          <w:rFonts w:cstheme="minorHAnsi"/>
          <w:i/>
          <w:color w:val="F4B083" w:themeColor="accent2" w:themeTint="99"/>
          <w:szCs w:val="24"/>
        </w:rPr>
        <w:t xml:space="preserve"> 2)</w:t>
      </w:r>
    </w:p>
    <w:p w:rsidR="00B63CB4" w:rsidRPr="00B63CB4" w:rsidRDefault="00B63CB4" w:rsidP="002065D4">
      <w:pPr>
        <w:numPr>
          <w:ilvl w:val="0"/>
          <w:numId w:val="17"/>
        </w:numPr>
        <w:spacing w:after="0" w:line="240" w:lineRule="auto"/>
        <w:ind w:left="1276"/>
        <w:contextualSpacing/>
        <w:jc w:val="both"/>
        <w:cnfStyle w:val="101000000000" w:firstRow="1" w:lastRow="0" w:firstColumn="1" w:lastColumn="0" w:oddVBand="0" w:evenVBand="0" w:oddHBand="0" w:evenHBand="0" w:firstRowFirstColumn="0" w:firstRowLastColumn="0" w:lastRowFirstColumn="0" w:lastRowLastColumn="0"/>
        <w:rPr>
          <w:rFonts w:cstheme="minorHAnsi"/>
          <w:szCs w:val="24"/>
        </w:rPr>
      </w:pPr>
      <w:r w:rsidRPr="00B63CB4">
        <w:rPr>
          <w:rFonts w:cstheme="minorHAnsi"/>
          <w:szCs w:val="24"/>
        </w:rPr>
        <w:t>Une copie de l’or</w:t>
      </w:r>
      <w:bookmarkStart w:id="0" w:name="_GoBack"/>
      <w:bookmarkEnd w:id="0"/>
      <w:r w:rsidRPr="00B63CB4">
        <w:rPr>
          <w:rFonts w:cstheme="minorHAnsi"/>
          <w:szCs w:val="24"/>
        </w:rPr>
        <w:t xml:space="preserve">donnance de suivi post-transfusionnel pour les RAI </w:t>
      </w:r>
      <w:r w:rsidRPr="00B63CB4">
        <w:rPr>
          <w:rFonts w:cstheme="minorHAnsi"/>
          <w:i/>
          <w:color w:val="F4B083" w:themeColor="accent2" w:themeTint="99"/>
          <w:szCs w:val="24"/>
        </w:rPr>
        <w:t>(annexe 4)</w:t>
      </w:r>
    </w:p>
    <w:p w:rsidR="00B63CB4" w:rsidRPr="00B63CB4" w:rsidRDefault="00B63CB4" w:rsidP="00B63CB4">
      <w:pPr>
        <w:tabs>
          <w:tab w:val="left" w:pos="3510"/>
          <w:tab w:val="left" w:pos="6660"/>
        </w:tabs>
        <w:ind w:left="3600"/>
        <w:jc w:val="both"/>
        <w:cnfStyle w:val="101000000000" w:firstRow="1" w:lastRow="0" w:firstColumn="1" w:lastColumn="0" w:oddVBand="0" w:evenVBand="0" w:oddHBand="0" w:evenHBand="0" w:firstRowFirstColumn="0" w:firstRowLastColumn="0" w:lastRowFirstColumn="0" w:lastRowLastColumn="0"/>
        <w:rPr>
          <w:rFonts w:cstheme="minorHAnsi"/>
        </w:rPr>
      </w:pPr>
    </w:p>
    <w:p w:rsidR="00B63CB4" w:rsidRDefault="00B63CB4"/>
    <w:sectPr w:rsidR="00B63CB4" w:rsidSect="00E01806">
      <w:headerReference w:type="default" r:id="rId7"/>
      <w:footerReference w:type="default" r:id="rId8"/>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D56" w:rsidRDefault="00B70D56" w:rsidP="00CE47D1">
      <w:pPr>
        <w:spacing w:after="0" w:line="240" w:lineRule="auto"/>
      </w:pPr>
      <w:r>
        <w:separator/>
      </w:r>
    </w:p>
  </w:endnote>
  <w:endnote w:type="continuationSeparator" w:id="0">
    <w:p w:rsidR="00B70D56" w:rsidRDefault="00B70D56" w:rsidP="00CE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83" w:rsidRPr="00F3500B" w:rsidRDefault="002A07E7" w:rsidP="00554F14">
    <w:pPr>
      <w:pStyle w:val="Pieddepage"/>
      <w:rPr>
        <w:rFonts w:ascii="Arial" w:hAnsi="Arial" w:cs="Arial"/>
        <w:color w:val="000080"/>
        <w:sz w:val="14"/>
        <w:szCs w:val="16"/>
      </w:rPr>
    </w:pPr>
    <w:r>
      <w:rPr>
        <w:rFonts w:ascii="Arial" w:hAnsi="Arial" w:cs="Arial"/>
        <w:i/>
        <w:color w:val="000080"/>
        <w:sz w:val="12"/>
        <w:szCs w:val="16"/>
      </w:rPr>
      <w:t>HV</w:t>
    </w:r>
    <w:r w:rsidR="00B63CB4">
      <w:rPr>
        <w:rFonts w:ascii="Arial" w:hAnsi="Arial" w:cs="Arial"/>
        <w:i/>
        <w:color w:val="000080"/>
        <w:sz w:val="12"/>
        <w:szCs w:val="16"/>
      </w:rPr>
      <w:t>CVL/ES/TRANSFUSION/PROCEDURE-INFORMATIONS-PATIENT</w:t>
    </w:r>
  </w:p>
  <w:p w:rsidR="00E77183" w:rsidRDefault="00E77183" w:rsidP="00E77183">
    <w:pPr>
      <w:pStyle w:val="Pieddepage"/>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D56" w:rsidRDefault="00B70D56" w:rsidP="00CE47D1">
      <w:pPr>
        <w:spacing w:after="0" w:line="240" w:lineRule="auto"/>
      </w:pPr>
      <w:r>
        <w:separator/>
      </w:r>
    </w:p>
  </w:footnote>
  <w:footnote w:type="continuationSeparator" w:id="0">
    <w:p w:rsidR="00B70D56" w:rsidRDefault="00B70D56" w:rsidP="00CE4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7D1" w:rsidRDefault="00273F0A" w:rsidP="00273F0A">
    <w:pPr>
      <w:pStyle w:val="En-tte"/>
      <w:jc w:val="right"/>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73F0A">
      <w:rPr>
        <w:noProof/>
        <w:sz w:val="14"/>
        <w:lang w:eastAsia="fr-FR"/>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178217</wp:posOffset>
              </wp:positionV>
              <wp:extent cx="5732060" cy="6994"/>
              <wp:effectExtent l="0" t="0" r="21590" b="31115"/>
              <wp:wrapNone/>
              <wp:docPr id="1" name="Connecteur droit 1"/>
              <wp:cNvGraphicFramePr/>
              <a:graphic xmlns:a="http://schemas.openxmlformats.org/drawingml/2006/main">
                <a:graphicData uri="http://schemas.microsoft.com/office/word/2010/wordprocessingShape">
                  <wps:wsp>
                    <wps:cNvCnPr/>
                    <wps:spPr>
                      <a:xfrm flipV="1">
                        <a:off x="0" y="0"/>
                        <a:ext cx="5732060" cy="6994"/>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F2C39F" id="Connecteur droit 1"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15pt,14.05pt" to="85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" strokecolor="#4472c4 [3208]" strokeweight=".5pt">
              <v:stroke joinstyle="miter"/>
              <w10:wrap anchorx="margin"/>
            </v:line>
          </w:pict>
        </mc:Fallback>
      </mc:AlternateContent>
    </w:r>
    <w:r w:rsidRPr="00273F0A">
      <w:rPr>
        <w:noProof/>
        <w:sz w:val="14"/>
        <w:lang w:eastAsia="fr-FR"/>
      </w:rPr>
      <w:drawing>
        <wp:anchor distT="0" distB="0" distL="114300" distR="114300" simplePos="0" relativeHeight="251660288" behindDoc="1" locked="0" layoutInCell="1" allowOverlap="1">
          <wp:simplePos x="0" y="0"/>
          <wp:positionH relativeFrom="column">
            <wp:posOffset>150495</wp:posOffset>
          </wp:positionH>
          <wp:positionV relativeFrom="paragraph">
            <wp:posOffset>232410</wp:posOffset>
          </wp:positionV>
          <wp:extent cx="395785" cy="361154"/>
          <wp:effectExtent l="0" t="0" r="4445"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EMOVIGILA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5785" cy="361154"/>
                  </a:xfrm>
                  <a:prstGeom prst="rect">
                    <a:avLst/>
                  </a:prstGeom>
                </pic:spPr>
              </pic:pic>
            </a:graphicData>
          </a:graphic>
        </wp:anchor>
      </w:drawing>
    </w:r>
    <w:r w:rsidRPr="00273F0A">
      <w:rPr>
        <w:rFonts w:ascii="Times New Roman" w:hAnsi="Times New Roman" w:cs="Times New Roman"/>
        <w:noProof/>
        <w:sz w:val="16"/>
        <w:szCs w:val="24"/>
        <w:lang w:eastAsia="fr-FR"/>
      </w:rPr>
      <w:drawing>
        <wp:anchor distT="0" distB="0" distL="114300" distR="114300" simplePos="0" relativeHeight="251659264" behindDoc="1" locked="0" layoutInCell="1" allowOverlap="0" wp14:anchorId="5258606D" wp14:editId="23782684">
          <wp:simplePos x="0" y="0"/>
          <wp:positionH relativeFrom="margin">
            <wp:align>left</wp:align>
          </wp:positionH>
          <wp:positionV relativeFrom="line">
            <wp:posOffset>-163034</wp:posOffset>
          </wp:positionV>
          <wp:extent cx="808028" cy="300251"/>
          <wp:effectExtent l="0" t="0" r="0" b="508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028" cy="300251"/>
                  </a:xfrm>
                  <a:prstGeom prst="rect">
                    <a:avLst/>
                  </a:prstGeom>
                  <a:noFill/>
                </pic:spPr>
              </pic:pic>
            </a:graphicData>
          </a:graphic>
          <wp14:sizeRelH relativeFrom="page">
            <wp14:pctWidth>0</wp14:pctWidth>
          </wp14:sizeRelH>
          <wp14:sizeRelV relativeFrom="page">
            <wp14:pctHeight>0</wp14:pctHeight>
          </wp14:sizeRelV>
        </wp:anchor>
      </w:drawing>
    </w:r>
    <w:r w:rsidRPr="00273F0A">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CELLULE REGIONALE D’HEMOVIGILANCE</w:t>
    </w:r>
  </w:p>
  <w:p w:rsidR="00F3500B" w:rsidRPr="00273F0A" w:rsidRDefault="00F3500B" w:rsidP="00273F0A">
    <w:pPr>
      <w:pStyle w:val="En-tte"/>
      <w:jc w:val="right"/>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Centre-Val de Loire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8B5"/>
    <w:multiLevelType w:val="hybridMultilevel"/>
    <w:tmpl w:val="378EC880"/>
    <w:lvl w:ilvl="0" w:tplc="6D8863AC">
      <w:start w:val="1"/>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6970344"/>
    <w:multiLevelType w:val="hybridMultilevel"/>
    <w:tmpl w:val="1D105280"/>
    <w:lvl w:ilvl="0" w:tplc="3B2ECC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F77207"/>
    <w:multiLevelType w:val="hybridMultilevel"/>
    <w:tmpl w:val="6462A34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F5D0A82"/>
    <w:multiLevelType w:val="hybridMultilevel"/>
    <w:tmpl w:val="85520484"/>
    <w:lvl w:ilvl="0" w:tplc="040C0001">
      <w:start w:val="1"/>
      <w:numFmt w:val="bullet"/>
      <w:lvlText w:val=""/>
      <w:lvlJc w:val="left"/>
      <w:pPr>
        <w:ind w:left="2508" w:hanging="360"/>
      </w:pPr>
      <w:rPr>
        <w:rFonts w:ascii="Symbol" w:hAnsi="Symbol" w:hint="default"/>
      </w:rPr>
    </w:lvl>
    <w:lvl w:ilvl="1" w:tplc="040C0003" w:tentative="1">
      <w:start w:val="1"/>
      <w:numFmt w:val="bullet"/>
      <w:lvlText w:val="o"/>
      <w:lvlJc w:val="left"/>
      <w:pPr>
        <w:ind w:left="3228" w:hanging="360"/>
      </w:pPr>
      <w:rPr>
        <w:rFonts w:ascii="Courier New" w:hAnsi="Courier New" w:cs="Courier New" w:hint="default"/>
      </w:rPr>
    </w:lvl>
    <w:lvl w:ilvl="2" w:tplc="040C0005" w:tentative="1">
      <w:start w:val="1"/>
      <w:numFmt w:val="bullet"/>
      <w:lvlText w:val=""/>
      <w:lvlJc w:val="left"/>
      <w:pPr>
        <w:ind w:left="3948" w:hanging="360"/>
      </w:pPr>
      <w:rPr>
        <w:rFonts w:ascii="Wingdings" w:hAnsi="Wingdings" w:hint="default"/>
      </w:rPr>
    </w:lvl>
    <w:lvl w:ilvl="3" w:tplc="040C0001" w:tentative="1">
      <w:start w:val="1"/>
      <w:numFmt w:val="bullet"/>
      <w:lvlText w:val=""/>
      <w:lvlJc w:val="left"/>
      <w:pPr>
        <w:ind w:left="4668" w:hanging="360"/>
      </w:pPr>
      <w:rPr>
        <w:rFonts w:ascii="Symbol" w:hAnsi="Symbol" w:hint="default"/>
      </w:rPr>
    </w:lvl>
    <w:lvl w:ilvl="4" w:tplc="040C0003" w:tentative="1">
      <w:start w:val="1"/>
      <w:numFmt w:val="bullet"/>
      <w:lvlText w:val="o"/>
      <w:lvlJc w:val="left"/>
      <w:pPr>
        <w:ind w:left="5388" w:hanging="360"/>
      </w:pPr>
      <w:rPr>
        <w:rFonts w:ascii="Courier New" w:hAnsi="Courier New" w:cs="Courier New" w:hint="default"/>
      </w:rPr>
    </w:lvl>
    <w:lvl w:ilvl="5" w:tplc="040C0005" w:tentative="1">
      <w:start w:val="1"/>
      <w:numFmt w:val="bullet"/>
      <w:lvlText w:val=""/>
      <w:lvlJc w:val="left"/>
      <w:pPr>
        <w:ind w:left="6108" w:hanging="360"/>
      </w:pPr>
      <w:rPr>
        <w:rFonts w:ascii="Wingdings" w:hAnsi="Wingdings" w:hint="default"/>
      </w:rPr>
    </w:lvl>
    <w:lvl w:ilvl="6" w:tplc="040C0001" w:tentative="1">
      <w:start w:val="1"/>
      <w:numFmt w:val="bullet"/>
      <w:lvlText w:val=""/>
      <w:lvlJc w:val="left"/>
      <w:pPr>
        <w:ind w:left="6828" w:hanging="360"/>
      </w:pPr>
      <w:rPr>
        <w:rFonts w:ascii="Symbol" w:hAnsi="Symbol" w:hint="default"/>
      </w:rPr>
    </w:lvl>
    <w:lvl w:ilvl="7" w:tplc="040C0003" w:tentative="1">
      <w:start w:val="1"/>
      <w:numFmt w:val="bullet"/>
      <w:lvlText w:val="o"/>
      <w:lvlJc w:val="left"/>
      <w:pPr>
        <w:ind w:left="7548" w:hanging="360"/>
      </w:pPr>
      <w:rPr>
        <w:rFonts w:ascii="Courier New" w:hAnsi="Courier New" w:cs="Courier New" w:hint="default"/>
      </w:rPr>
    </w:lvl>
    <w:lvl w:ilvl="8" w:tplc="040C0005" w:tentative="1">
      <w:start w:val="1"/>
      <w:numFmt w:val="bullet"/>
      <w:lvlText w:val=""/>
      <w:lvlJc w:val="left"/>
      <w:pPr>
        <w:ind w:left="8268" w:hanging="360"/>
      </w:pPr>
      <w:rPr>
        <w:rFonts w:ascii="Wingdings" w:hAnsi="Wingdings" w:hint="default"/>
      </w:rPr>
    </w:lvl>
  </w:abstractNum>
  <w:abstractNum w:abstractNumId="4" w15:restartNumberingAfterBreak="0">
    <w:nsid w:val="123665B5"/>
    <w:multiLevelType w:val="hybridMultilevel"/>
    <w:tmpl w:val="5C221884"/>
    <w:lvl w:ilvl="0" w:tplc="040C0001">
      <w:start w:val="1"/>
      <w:numFmt w:val="bullet"/>
      <w:lvlText w:val=""/>
      <w:lvlJc w:val="left"/>
      <w:pPr>
        <w:ind w:left="2316" w:hanging="360"/>
      </w:pPr>
      <w:rPr>
        <w:rFonts w:ascii="Symbol" w:hAnsi="Symbol" w:hint="default"/>
      </w:rPr>
    </w:lvl>
    <w:lvl w:ilvl="1" w:tplc="040C0003" w:tentative="1">
      <w:start w:val="1"/>
      <w:numFmt w:val="bullet"/>
      <w:lvlText w:val="o"/>
      <w:lvlJc w:val="left"/>
      <w:pPr>
        <w:ind w:left="3036" w:hanging="360"/>
      </w:pPr>
      <w:rPr>
        <w:rFonts w:ascii="Courier New" w:hAnsi="Courier New" w:cs="Courier New" w:hint="default"/>
      </w:rPr>
    </w:lvl>
    <w:lvl w:ilvl="2" w:tplc="040C0005" w:tentative="1">
      <w:start w:val="1"/>
      <w:numFmt w:val="bullet"/>
      <w:lvlText w:val=""/>
      <w:lvlJc w:val="left"/>
      <w:pPr>
        <w:ind w:left="3756" w:hanging="360"/>
      </w:pPr>
      <w:rPr>
        <w:rFonts w:ascii="Wingdings" w:hAnsi="Wingdings" w:hint="default"/>
      </w:rPr>
    </w:lvl>
    <w:lvl w:ilvl="3" w:tplc="040C0001" w:tentative="1">
      <w:start w:val="1"/>
      <w:numFmt w:val="bullet"/>
      <w:lvlText w:val=""/>
      <w:lvlJc w:val="left"/>
      <w:pPr>
        <w:ind w:left="4476" w:hanging="360"/>
      </w:pPr>
      <w:rPr>
        <w:rFonts w:ascii="Symbol" w:hAnsi="Symbol" w:hint="default"/>
      </w:rPr>
    </w:lvl>
    <w:lvl w:ilvl="4" w:tplc="040C0003" w:tentative="1">
      <w:start w:val="1"/>
      <w:numFmt w:val="bullet"/>
      <w:lvlText w:val="o"/>
      <w:lvlJc w:val="left"/>
      <w:pPr>
        <w:ind w:left="5196" w:hanging="360"/>
      </w:pPr>
      <w:rPr>
        <w:rFonts w:ascii="Courier New" w:hAnsi="Courier New" w:cs="Courier New" w:hint="default"/>
      </w:rPr>
    </w:lvl>
    <w:lvl w:ilvl="5" w:tplc="040C0005" w:tentative="1">
      <w:start w:val="1"/>
      <w:numFmt w:val="bullet"/>
      <w:lvlText w:val=""/>
      <w:lvlJc w:val="left"/>
      <w:pPr>
        <w:ind w:left="5916" w:hanging="360"/>
      </w:pPr>
      <w:rPr>
        <w:rFonts w:ascii="Wingdings" w:hAnsi="Wingdings" w:hint="default"/>
      </w:rPr>
    </w:lvl>
    <w:lvl w:ilvl="6" w:tplc="040C0001" w:tentative="1">
      <w:start w:val="1"/>
      <w:numFmt w:val="bullet"/>
      <w:lvlText w:val=""/>
      <w:lvlJc w:val="left"/>
      <w:pPr>
        <w:ind w:left="6636" w:hanging="360"/>
      </w:pPr>
      <w:rPr>
        <w:rFonts w:ascii="Symbol" w:hAnsi="Symbol" w:hint="default"/>
      </w:rPr>
    </w:lvl>
    <w:lvl w:ilvl="7" w:tplc="040C0003" w:tentative="1">
      <w:start w:val="1"/>
      <w:numFmt w:val="bullet"/>
      <w:lvlText w:val="o"/>
      <w:lvlJc w:val="left"/>
      <w:pPr>
        <w:ind w:left="7356" w:hanging="360"/>
      </w:pPr>
      <w:rPr>
        <w:rFonts w:ascii="Courier New" w:hAnsi="Courier New" w:cs="Courier New" w:hint="default"/>
      </w:rPr>
    </w:lvl>
    <w:lvl w:ilvl="8" w:tplc="040C0005" w:tentative="1">
      <w:start w:val="1"/>
      <w:numFmt w:val="bullet"/>
      <w:lvlText w:val=""/>
      <w:lvlJc w:val="left"/>
      <w:pPr>
        <w:ind w:left="8076" w:hanging="360"/>
      </w:pPr>
      <w:rPr>
        <w:rFonts w:ascii="Wingdings" w:hAnsi="Wingdings" w:hint="default"/>
      </w:rPr>
    </w:lvl>
  </w:abstractNum>
  <w:abstractNum w:abstractNumId="5" w15:restartNumberingAfterBreak="0">
    <w:nsid w:val="259B690C"/>
    <w:multiLevelType w:val="hybridMultilevel"/>
    <w:tmpl w:val="3240469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 w15:restartNumberingAfterBreak="0">
    <w:nsid w:val="29F30BB1"/>
    <w:multiLevelType w:val="hybridMultilevel"/>
    <w:tmpl w:val="4E2AF4D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7" w15:restartNumberingAfterBreak="0">
    <w:nsid w:val="2BDA0059"/>
    <w:multiLevelType w:val="hybridMultilevel"/>
    <w:tmpl w:val="B4AE2B08"/>
    <w:lvl w:ilvl="0" w:tplc="040C0003">
      <w:start w:val="1"/>
      <w:numFmt w:val="bullet"/>
      <w:lvlText w:val="o"/>
      <w:lvlJc w:val="left"/>
      <w:pPr>
        <w:ind w:left="2138" w:hanging="360"/>
      </w:pPr>
      <w:rPr>
        <w:rFonts w:ascii="Courier New" w:hAnsi="Courier New" w:cs="Courier New"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8" w15:restartNumberingAfterBreak="0">
    <w:nsid w:val="2F923CAE"/>
    <w:multiLevelType w:val="hybridMultilevel"/>
    <w:tmpl w:val="423C70B6"/>
    <w:lvl w:ilvl="0" w:tplc="040C0003">
      <w:start w:val="1"/>
      <w:numFmt w:val="bullet"/>
      <w:lvlText w:val="o"/>
      <w:lvlJc w:val="left"/>
      <w:pPr>
        <w:ind w:left="1788" w:hanging="360"/>
      </w:pPr>
      <w:rPr>
        <w:rFonts w:ascii="Courier New" w:hAnsi="Courier New" w:cs="Courier New"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9" w15:restartNumberingAfterBreak="0">
    <w:nsid w:val="36395DBD"/>
    <w:multiLevelType w:val="hybridMultilevel"/>
    <w:tmpl w:val="39C21154"/>
    <w:lvl w:ilvl="0" w:tplc="019C0654">
      <w:start w:val="1"/>
      <w:numFmt w:val="lowerLetter"/>
      <w:lvlText w:val="%1."/>
      <w:lvlJc w:val="left"/>
      <w:pPr>
        <w:ind w:left="1080" w:hanging="360"/>
      </w:pPr>
      <w:rPr>
        <w:rFonts w:hint="default"/>
        <w:color w:val="0070C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38A96998"/>
    <w:multiLevelType w:val="hybridMultilevel"/>
    <w:tmpl w:val="23F24030"/>
    <w:lvl w:ilvl="0" w:tplc="E012AEEA">
      <w:numFmt w:val="bullet"/>
      <w:lvlText w:val=""/>
      <w:lvlJc w:val="left"/>
      <w:pPr>
        <w:ind w:left="720" w:hanging="360"/>
      </w:pPr>
      <w:rPr>
        <w:rFonts w:ascii="Wingdings" w:eastAsiaTheme="minorHAnsi" w:hAnsi="Wingdings" w:cstheme="minorBidi"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187F32"/>
    <w:multiLevelType w:val="hybridMultilevel"/>
    <w:tmpl w:val="4AC4907A"/>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3D4701F7"/>
    <w:multiLevelType w:val="hybridMultilevel"/>
    <w:tmpl w:val="DD720974"/>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3FA42A08"/>
    <w:multiLevelType w:val="hybridMultilevel"/>
    <w:tmpl w:val="7A1AAA3E"/>
    <w:lvl w:ilvl="0" w:tplc="ECDEBFA2">
      <w:numFmt w:val="bullet"/>
      <w:lvlText w:val="-"/>
      <w:lvlJc w:val="left"/>
      <w:pPr>
        <w:ind w:left="1080" w:hanging="360"/>
      </w:pPr>
      <w:rPr>
        <w:rFonts w:ascii="Arial Narrow" w:eastAsia="Times New Roman" w:hAnsi="Arial Narrow"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4" w15:restartNumberingAfterBreak="0">
    <w:nsid w:val="431249D1"/>
    <w:multiLevelType w:val="hybridMultilevel"/>
    <w:tmpl w:val="2A64A63E"/>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47A7274C"/>
    <w:multiLevelType w:val="hybridMultilevel"/>
    <w:tmpl w:val="AB9AAB72"/>
    <w:lvl w:ilvl="0" w:tplc="AD76F752">
      <w:start w:val="1"/>
      <w:numFmt w:val="decimal"/>
      <w:lvlText w:val="%1)"/>
      <w:lvlJc w:val="left"/>
      <w:pPr>
        <w:ind w:left="1068" w:hanging="708"/>
      </w:pPr>
      <w:rPr>
        <w:rFonts w:hint="default"/>
        <w:i/>
        <w:color w:val="7030A0"/>
        <w:sz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B22231A"/>
    <w:multiLevelType w:val="hybridMultilevel"/>
    <w:tmpl w:val="B1EAD06E"/>
    <w:lvl w:ilvl="0" w:tplc="040C0001">
      <w:start w:val="1"/>
      <w:numFmt w:val="bullet"/>
      <w:lvlText w:val=""/>
      <w:lvlJc w:val="left"/>
      <w:pPr>
        <w:ind w:left="2316" w:hanging="360"/>
      </w:pPr>
      <w:rPr>
        <w:rFonts w:ascii="Symbol" w:hAnsi="Symbol" w:hint="default"/>
      </w:rPr>
    </w:lvl>
    <w:lvl w:ilvl="1" w:tplc="040C0003" w:tentative="1">
      <w:start w:val="1"/>
      <w:numFmt w:val="bullet"/>
      <w:lvlText w:val="o"/>
      <w:lvlJc w:val="left"/>
      <w:pPr>
        <w:ind w:left="3036" w:hanging="360"/>
      </w:pPr>
      <w:rPr>
        <w:rFonts w:ascii="Courier New" w:hAnsi="Courier New" w:cs="Courier New" w:hint="default"/>
      </w:rPr>
    </w:lvl>
    <w:lvl w:ilvl="2" w:tplc="040C0005" w:tentative="1">
      <w:start w:val="1"/>
      <w:numFmt w:val="bullet"/>
      <w:lvlText w:val=""/>
      <w:lvlJc w:val="left"/>
      <w:pPr>
        <w:ind w:left="3756" w:hanging="360"/>
      </w:pPr>
      <w:rPr>
        <w:rFonts w:ascii="Wingdings" w:hAnsi="Wingdings" w:hint="default"/>
      </w:rPr>
    </w:lvl>
    <w:lvl w:ilvl="3" w:tplc="040C0001" w:tentative="1">
      <w:start w:val="1"/>
      <w:numFmt w:val="bullet"/>
      <w:lvlText w:val=""/>
      <w:lvlJc w:val="left"/>
      <w:pPr>
        <w:ind w:left="4476" w:hanging="360"/>
      </w:pPr>
      <w:rPr>
        <w:rFonts w:ascii="Symbol" w:hAnsi="Symbol" w:hint="default"/>
      </w:rPr>
    </w:lvl>
    <w:lvl w:ilvl="4" w:tplc="040C0003" w:tentative="1">
      <w:start w:val="1"/>
      <w:numFmt w:val="bullet"/>
      <w:lvlText w:val="o"/>
      <w:lvlJc w:val="left"/>
      <w:pPr>
        <w:ind w:left="5196" w:hanging="360"/>
      </w:pPr>
      <w:rPr>
        <w:rFonts w:ascii="Courier New" w:hAnsi="Courier New" w:cs="Courier New" w:hint="default"/>
      </w:rPr>
    </w:lvl>
    <w:lvl w:ilvl="5" w:tplc="040C0005" w:tentative="1">
      <w:start w:val="1"/>
      <w:numFmt w:val="bullet"/>
      <w:lvlText w:val=""/>
      <w:lvlJc w:val="left"/>
      <w:pPr>
        <w:ind w:left="5916" w:hanging="360"/>
      </w:pPr>
      <w:rPr>
        <w:rFonts w:ascii="Wingdings" w:hAnsi="Wingdings" w:hint="default"/>
      </w:rPr>
    </w:lvl>
    <w:lvl w:ilvl="6" w:tplc="040C0001" w:tentative="1">
      <w:start w:val="1"/>
      <w:numFmt w:val="bullet"/>
      <w:lvlText w:val=""/>
      <w:lvlJc w:val="left"/>
      <w:pPr>
        <w:ind w:left="6636" w:hanging="360"/>
      </w:pPr>
      <w:rPr>
        <w:rFonts w:ascii="Symbol" w:hAnsi="Symbol" w:hint="default"/>
      </w:rPr>
    </w:lvl>
    <w:lvl w:ilvl="7" w:tplc="040C0003" w:tentative="1">
      <w:start w:val="1"/>
      <w:numFmt w:val="bullet"/>
      <w:lvlText w:val="o"/>
      <w:lvlJc w:val="left"/>
      <w:pPr>
        <w:ind w:left="7356" w:hanging="360"/>
      </w:pPr>
      <w:rPr>
        <w:rFonts w:ascii="Courier New" w:hAnsi="Courier New" w:cs="Courier New" w:hint="default"/>
      </w:rPr>
    </w:lvl>
    <w:lvl w:ilvl="8" w:tplc="040C0005" w:tentative="1">
      <w:start w:val="1"/>
      <w:numFmt w:val="bullet"/>
      <w:lvlText w:val=""/>
      <w:lvlJc w:val="left"/>
      <w:pPr>
        <w:ind w:left="8076" w:hanging="360"/>
      </w:pPr>
      <w:rPr>
        <w:rFonts w:ascii="Wingdings" w:hAnsi="Wingdings" w:hint="default"/>
      </w:rPr>
    </w:lvl>
  </w:abstractNum>
  <w:abstractNum w:abstractNumId="17" w15:restartNumberingAfterBreak="0">
    <w:nsid w:val="4B611764"/>
    <w:multiLevelType w:val="hybridMultilevel"/>
    <w:tmpl w:val="04EC492C"/>
    <w:lvl w:ilvl="0" w:tplc="ED4C3A9C">
      <w:start w:val="2"/>
      <w:numFmt w:val="bullet"/>
      <w:lvlText w:val="-"/>
      <w:lvlJc w:val="left"/>
      <w:pPr>
        <w:ind w:left="2160" w:hanging="360"/>
      </w:pPr>
      <w:rPr>
        <w:rFonts w:ascii="Calibri" w:eastAsiaTheme="minorHAnsi" w:hAnsi="Calibri" w:cs="Calibri"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8" w15:restartNumberingAfterBreak="0">
    <w:nsid w:val="4BDF7A19"/>
    <w:multiLevelType w:val="hybridMultilevel"/>
    <w:tmpl w:val="DF94B2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FFD628A"/>
    <w:multiLevelType w:val="hybridMultilevel"/>
    <w:tmpl w:val="3E3AB25A"/>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0" w15:restartNumberingAfterBreak="0">
    <w:nsid w:val="54C556EB"/>
    <w:multiLevelType w:val="hybridMultilevel"/>
    <w:tmpl w:val="EFD09C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B71BB5"/>
    <w:multiLevelType w:val="hybridMultilevel"/>
    <w:tmpl w:val="F0FC9600"/>
    <w:lvl w:ilvl="0" w:tplc="29C8449C">
      <w:numFmt w:val="bullet"/>
      <w:lvlText w:val=""/>
      <w:lvlJc w:val="left"/>
      <w:pPr>
        <w:ind w:left="720" w:hanging="360"/>
      </w:pPr>
      <w:rPr>
        <w:rFonts w:ascii="Wingdings" w:eastAsiaTheme="minorHAnsi" w:hAnsi="Wingdings" w:cstheme="minorBidi" w:hint="default"/>
        <w:b w:val="0"/>
        <w:i w:val="0"/>
        <w:color w:val="C0000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7BB676B"/>
    <w:multiLevelType w:val="hybridMultilevel"/>
    <w:tmpl w:val="6DA2740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6DF465B7"/>
    <w:multiLevelType w:val="hybridMultilevel"/>
    <w:tmpl w:val="4CEA42EE"/>
    <w:lvl w:ilvl="0" w:tplc="040C0005">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4" w15:restartNumberingAfterBreak="0">
    <w:nsid w:val="6F236D4F"/>
    <w:multiLevelType w:val="hybridMultilevel"/>
    <w:tmpl w:val="8DD82D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A043053"/>
    <w:multiLevelType w:val="hybridMultilevel"/>
    <w:tmpl w:val="52BA2EBA"/>
    <w:lvl w:ilvl="0" w:tplc="040C0001">
      <w:start w:val="1"/>
      <w:numFmt w:val="bullet"/>
      <w:lvlText w:val=""/>
      <w:lvlJc w:val="left"/>
      <w:pPr>
        <w:ind w:left="2316" w:hanging="360"/>
      </w:pPr>
      <w:rPr>
        <w:rFonts w:ascii="Symbol" w:hAnsi="Symbol" w:hint="default"/>
      </w:rPr>
    </w:lvl>
    <w:lvl w:ilvl="1" w:tplc="040C0003" w:tentative="1">
      <w:start w:val="1"/>
      <w:numFmt w:val="bullet"/>
      <w:lvlText w:val="o"/>
      <w:lvlJc w:val="left"/>
      <w:pPr>
        <w:ind w:left="3036" w:hanging="360"/>
      </w:pPr>
      <w:rPr>
        <w:rFonts w:ascii="Courier New" w:hAnsi="Courier New" w:cs="Courier New" w:hint="default"/>
      </w:rPr>
    </w:lvl>
    <w:lvl w:ilvl="2" w:tplc="040C0005" w:tentative="1">
      <w:start w:val="1"/>
      <w:numFmt w:val="bullet"/>
      <w:lvlText w:val=""/>
      <w:lvlJc w:val="left"/>
      <w:pPr>
        <w:ind w:left="3756" w:hanging="360"/>
      </w:pPr>
      <w:rPr>
        <w:rFonts w:ascii="Wingdings" w:hAnsi="Wingdings" w:hint="default"/>
      </w:rPr>
    </w:lvl>
    <w:lvl w:ilvl="3" w:tplc="040C0001" w:tentative="1">
      <w:start w:val="1"/>
      <w:numFmt w:val="bullet"/>
      <w:lvlText w:val=""/>
      <w:lvlJc w:val="left"/>
      <w:pPr>
        <w:ind w:left="4476" w:hanging="360"/>
      </w:pPr>
      <w:rPr>
        <w:rFonts w:ascii="Symbol" w:hAnsi="Symbol" w:hint="default"/>
      </w:rPr>
    </w:lvl>
    <w:lvl w:ilvl="4" w:tplc="040C0003" w:tentative="1">
      <w:start w:val="1"/>
      <w:numFmt w:val="bullet"/>
      <w:lvlText w:val="o"/>
      <w:lvlJc w:val="left"/>
      <w:pPr>
        <w:ind w:left="5196" w:hanging="360"/>
      </w:pPr>
      <w:rPr>
        <w:rFonts w:ascii="Courier New" w:hAnsi="Courier New" w:cs="Courier New" w:hint="default"/>
      </w:rPr>
    </w:lvl>
    <w:lvl w:ilvl="5" w:tplc="040C0005" w:tentative="1">
      <w:start w:val="1"/>
      <w:numFmt w:val="bullet"/>
      <w:lvlText w:val=""/>
      <w:lvlJc w:val="left"/>
      <w:pPr>
        <w:ind w:left="5916" w:hanging="360"/>
      </w:pPr>
      <w:rPr>
        <w:rFonts w:ascii="Wingdings" w:hAnsi="Wingdings" w:hint="default"/>
      </w:rPr>
    </w:lvl>
    <w:lvl w:ilvl="6" w:tplc="040C0001" w:tentative="1">
      <w:start w:val="1"/>
      <w:numFmt w:val="bullet"/>
      <w:lvlText w:val=""/>
      <w:lvlJc w:val="left"/>
      <w:pPr>
        <w:ind w:left="6636" w:hanging="360"/>
      </w:pPr>
      <w:rPr>
        <w:rFonts w:ascii="Symbol" w:hAnsi="Symbol" w:hint="default"/>
      </w:rPr>
    </w:lvl>
    <w:lvl w:ilvl="7" w:tplc="040C0003" w:tentative="1">
      <w:start w:val="1"/>
      <w:numFmt w:val="bullet"/>
      <w:lvlText w:val="o"/>
      <w:lvlJc w:val="left"/>
      <w:pPr>
        <w:ind w:left="7356" w:hanging="360"/>
      </w:pPr>
      <w:rPr>
        <w:rFonts w:ascii="Courier New" w:hAnsi="Courier New" w:cs="Courier New" w:hint="default"/>
      </w:rPr>
    </w:lvl>
    <w:lvl w:ilvl="8" w:tplc="040C0005" w:tentative="1">
      <w:start w:val="1"/>
      <w:numFmt w:val="bullet"/>
      <w:lvlText w:val=""/>
      <w:lvlJc w:val="left"/>
      <w:pPr>
        <w:ind w:left="8076" w:hanging="360"/>
      </w:pPr>
      <w:rPr>
        <w:rFonts w:ascii="Wingdings" w:hAnsi="Wingdings" w:hint="default"/>
      </w:rPr>
    </w:lvl>
  </w:abstractNum>
  <w:num w:numId="1">
    <w:abstractNumId w:val="1"/>
  </w:num>
  <w:num w:numId="2">
    <w:abstractNumId w:val="18"/>
  </w:num>
  <w:num w:numId="3">
    <w:abstractNumId w:val="24"/>
  </w:num>
  <w:num w:numId="4">
    <w:abstractNumId w:val="20"/>
  </w:num>
  <w:num w:numId="5">
    <w:abstractNumId w:val="22"/>
  </w:num>
  <w:num w:numId="6">
    <w:abstractNumId w:val="2"/>
  </w:num>
  <w:num w:numId="7">
    <w:abstractNumId w:val="10"/>
  </w:num>
  <w:num w:numId="8">
    <w:abstractNumId w:val="7"/>
  </w:num>
  <w:num w:numId="9">
    <w:abstractNumId w:val="21"/>
  </w:num>
  <w:num w:numId="10">
    <w:abstractNumId w:val="8"/>
  </w:num>
  <w:num w:numId="11">
    <w:abstractNumId w:val="14"/>
  </w:num>
  <w:num w:numId="12">
    <w:abstractNumId w:val="5"/>
  </w:num>
  <w:num w:numId="13">
    <w:abstractNumId w:val="3"/>
  </w:num>
  <w:num w:numId="14">
    <w:abstractNumId w:val="15"/>
  </w:num>
  <w:num w:numId="15">
    <w:abstractNumId w:val="11"/>
  </w:num>
  <w:num w:numId="16">
    <w:abstractNumId w:val="12"/>
  </w:num>
  <w:num w:numId="17">
    <w:abstractNumId w:val="13"/>
  </w:num>
  <w:num w:numId="18">
    <w:abstractNumId w:val="9"/>
  </w:num>
  <w:num w:numId="19">
    <w:abstractNumId w:val="0"/>
  </w:num>
  <w:num w:numId="20">
    <w:abstractNumId w:val="23"/>
  </w:num>
  <w:num w:numId="21">
    <w:abstractNumId w:val="19"/>
  </w:num>
  <w:num w:numId="22">
    <w:abstractNumId w:val="6"/>
  </w:num>
  <w:num w:numId="23">
    <w:abstractNumId w:val="16"/>
  </w:num>
  <w:num w:numId="24">
    <w:abstractNumId w:val="4"/>
  </w:num>
  <w:num w:numId="25">
    <w:abstractNumId w:val="2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D1"/>
    <w:rsid w:val="000205B4"/>
    <w:rsid w:val="000579B2"/>
    <w:rsid w:val="00072B6C"/>
    <w:rsid w:val="0009770D"/>
    <w:rsid w:val="0014394F"/>
    <w:rsid w:val="00186CD5"/>
    <w:rsid w:val="001F6AB9"/>
    <w:rsid w:val="002065D4"/>
    <w:rsid w:val="0025104A"/>
    <w:rsid w:val="00273F0A"/>
    <w:rsid w:val="0029033F"/>
    <w:rsid w:val="002A07E7"/>
    <w:rsid w:val="0033287C"/>
    <w:rsid w:val="0034566B"/>
    <w:rsid w:val="00370909"/>
    <w:rsid w:val="003F109A"/>
    <w:rsid w:val="00470594"/>
    <w:rsid w:val="00526625"/>
    <w:rsid w:val="00554F14"/>
    <w:rsid w:val="005B050B"/>
    <w:rsid w:val="0061450D"/>
    <w:rsid w:val="006754D0"/>
    <w:rsid w:val="00734F1B"/>
    <w:rsid w:val="007C1278"/>
    <w:rsid w:val="008F0DC7"/>
    <w:rsid w:val="00936547"/>
    <w:rsid w:val="00982855"/>
    <w:rsid w:val="009E7C8D"/>
    <w:rsid w:val="00A80F10"/>
    <w:rsid w:val="00A84185"/>
    <w:rsid w:val="00B432ED"/>
    <w:rsid w:val="00B63CB4"/>
    <w:rsid w:val="00B70D56"/>
    <w:rsid w:val="00B7265B"/>
    <w:rsid w:val="00BC63D7"/>
    <w:rsid w:val="00C331EA"/>
    <w:rsid w:val="00C80EFE"/>
    <w:rsid w:val="00CE47D1"/>
    <w:rsid w:val="00D34273"/>
    <w:rsid w:val="00D806C2"/>
    <w:rsid w:val="00DC36D8"/>
    <w:rsid w:val="00E01806"/>
    <w:rsid w:val="00E2356D"/>
    <w:rsid w:val="00E365BE"/>
    <w:rsid w:val="00E71160"/>
    <w:rsid w:val="00E77183"/>
    <w:rsid w:val="00F3500B"/>
    <w:rsid w:val="00FC53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742EC8"/>
  <w15:chartTrackingRefBased/>
  <w15:docId w15:val="{D50D74A9-38AB-4799-8ADD-56876674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47D1"/>
    <w:pPr>
      <w:tabs>
        <w:tab w:val="center" w:pos="4536"/>
        <w:tab w:val="right" w:pos="9072"/>
      </w:tabs>
      <w:spacing w:after="0" w:line="240" w:lineRule="auto"/>
    </w:pPr>
  </w:style>
  <w:style w:type="character" w:customStyle="1" w:styleId="En-tteCar">
    <w:name w:val="En-tête Car"/>
    <w:basedOn w:val="Policepardfaut"/>
    <w:link w:val="En-tte"/>
    <w:uiPriority w:val="99"/>
    <w:rsid w:val="00CE47D1"/>
  </w:style>
  <w:style w:type="paragraph" w:styleId="Pieddepage">
    <w:name w:val="footer"/>
    <w:basedOn w:val="Normal"/>
    <w:link w:val="PieddepageCar"/>
    <w:uiPriority w:val="99"/>
    <w:unhideWhenUsed/>
    <w:rsid w:val="00CE47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47D1"/>
  </w:style>
  <w:style w:type="paragraph" w:styleId="Paragraphedeliste">
    <w:name w:val="List Paragraph"/>
    <w:basedOn w:val="Normal"/>
    <w:uiPriority w:val="34"/>
    <w:qFormat/>
    <w:rsid w:val="00CE47D1"/>
    <w:pPr>
      <w:ind w:left="720"/>
      <w:contextualSpacing/>
    </w:pPr>
  </w:style>
  <w:style w:type="character" w:styleId="Lienhypertexte">
    <w:name w:val="Hyperlink"/>
    <w:basedOn w:val="Policepardfaut"/>
    <w:uiPriority w:val="99"/>
    <w:unhideWhenUsed/>
    <w:rsid w:val="008F0DC7"/>
    <w:rPr>
      <w:color w:val="0000FF"/>
      <w:u w:val="single"/>
    </w:rPr>
  </w:style>
  <w:style w:type="table" w:styleId="Grilledutableau">
    <w:name w:val="Table Grid"/>
    <w:basedOn w:val="TableauNormal"/>
    <w:uiPriority w:val="39"/>
    <w:rsid w:val="00273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FC53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3</Pages>
  <Words>684</Words>
  <Characters>3765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ARS</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BLIN, Marjorie</dc:creator>
  <cp:keywords/>
  <dc:description/>
  <cp:lastModifiedBy>BLIN, Marjorie</cp:lastModifiedBy>
  <cp:revision>24</cp:revision>
  <dcterms:created xsi:type="dcterms:W3CDTF">2020-10-16T12:52:00Z</dcterms:created>
  <dcterms:modified xsi:type="dcterms:W3CDTF">2021-01-06T14:56:00Z</dcterms:modified>
</cp:coreProperties>
</file>