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D05538" w:rsidP="00E77183">
            <w:r>
              <w:rPr>
                <w:sz w:val="24"/>
              </w:rPr>
              <w:t>HVCVL/ES/TRANSFUSION/TEMOIN-JEHOVAH</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D05538">
              <w:rPr>
                <w:b w:val="0"/>
                <w:sz w:val="18"/>
              </w:rPr>
              <w:t>14/12</w:t>
            </w:r>
            <w:r w:rsidRPr="00B432ED">
              <w:rPr>
                <w:b w:val="0"/>
                <w:sz w:val="18"/>
              </w:rPr>
              <w:t>/2020</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554F14">
              <w:rPr>
                <w:b w:val="0"/>
                <w:sz w:val="18"/>
              </w:rPr>
              <w:t>03</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D05538" w:rsidP="00FC530B">
                            <w:pPr>
                              <w:rPr>
                                <w:b/>
                                <w:sz w:val="28"/>
                              </w:rPr>
                            </w:pPr>
                            <w:r>
                              <w:rPr>
                                <w:b/>
                                <w:sz w:val="28"/>
                              </w:rPr>
                              <w:t>Prise en charge transfusionnelle témoin de Jéhovah</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D05538" w:rsidP="00FC530B">
                      <w:pPr>
                        <w:rPr>
                          <w:b/>
                          <w:sz w:val="28"/>
                        </w:rPr>
                      </w:pPr>
                      <w:r>
                        <w:rPr>
                          <w:b/>
                          <w:sz w:val="28"/>
                        </w:rPr>
                        <w:t>Prise en charge transfusionnelle témoin de Jéhovah</w:t>
                      </w:r>
                      <w:r w:rsidR="00FC530B" w:rsidRPr="00FC530B">
                        <w:rPr>
                          <w:b/>
                          <w:sz w:val="28"/>
                        </w:rPr>
                        <w:t xml:space="preserve"> </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E77183" w:rsidRDefault="006C3AC0">
      <w:r>
        <w:t>Définit les modalités de prise en charge transfusion</w:t>
      </w:r>
      <w:bookmarkStart w:id="0" w:name="_GoBack"/>
      <w:bookmarkEnd w:id="0"/>
      <w:r>
        <w:t>nelle d’un patient témoin de Jéhovah.</w:t>
      </w:r>
    </w:p>
    <w:p w:rsidR="0061450D" w:rsidRDefault="0061450D"/>
    <w:p w:rsidR="0061450D" w:rsidRDefault="0061450D"/>
    <w:p w:rsidR="00E77183" w:rsidRDefault="00D05538">
      <w:r>
        <w:rPr>
          <w:b/>
          <w:i/>
          <w:u w:val="single"/>
        </w:rPr>
        <w:t>R</w:t>
      </w:r>
      <w:r w:rsidR="00E77183" w:rsidRPr="00E77183">
        <w:rPr>
          <w:b/>
          <w:i/>
          <w:u w:val="single"/>
        </w:rPr>
        <w:t>éférences</w:t>
      </w:r>
      <w:r w:rsidR="00E77183">
        <w:t> :</w:t>
      </w:r>
    </w:p>
    <w:p w:rsidR="00D05538" w:rsidRPr="00D05538" w:rsidRDefault="00D05538" w:rsidP="00D05538">
      <w:pPr>
        <w:pStyle w:val="Paragraphedeliste"/>
        <w:numPr>
          <w:ilvl w:val="0"/>
          <w:numId w:val="14"/>
        </w:numPr>
        <w:spacing w:after="0" w:line="240" w:lineRule="auto"/>
        <w:ind w:left="567" w:hanging="283"/>
        <w:cnfStyle w:val="101000000000" w:firstRow="1" w:lastRow="0" w:firstColumn="1" w:lastColumn="0" w:oddVBand="0" w:evenVBand="0" w:oddHBand="0" w:evenHBand="0" w:firstRowFirstColumn="0" w:firstRowLastColumn="0" w:lastRowFirstColumn="0" w:lastRowLastColumn="0"/>
        <w:rPr>
          <w:rFonts w:cs="Arial"/>
          <w:b/>
        </w:rPr>
      </w:pPr>
      <w:r w:rsidRPr="00D05538">
        <w:rPr>
          <w:rFonts w:cs="Arial"/>
        </w:rPr>
        <w:t>Service information hospitalier des témoins de Jéhovah : 0232255680</w:t>
      </w:r>
    </w:p>
    <w:p w:rsidR="00D05538" w:rsidRPr="00D05538" w:rsidRDefault="00D05538" w:rsidP="00D05538">
      <w:pPr>
        <w:pStyle w:val="Paragraphedeliste"/>
        <w:numPr>
          <w:ilvl w:val="0"/>
          <w:numId w:val="14"/>
        </w:numPr>
        <w:spacing w:after="0" w:line="240" w:lineRule="auto"/>
        <w:ind w:left="567" w:hanging="283"/>
        <w:cnfStyle w:val="101000000000" w:firstRow="1" w:lastRow="0" w:firstColumn="1" w:lastColumn="0" w:oddVBand="0" w:evenVBand="0" w:oddHBand="0" w:evenHBand="0" w:firstRowFirstColumn="0" w:firstRowLastColumn="0" w:lastRowFirstColumn="0" w:lastRowLastColumn="0"/>
        <w:rPr>
          <w:rFonts w:cs="Arial"/>
          <w:b/>
        </w:rPr>
      </w:pPr>
      <w:r w:rsidRPr="00D05538">
        <w:rPr>
          <w:rFonts w:cs="Arial"/>
        </w:rPr>
        <w:t>Association des comités de liaison hospitaliers des témoins de Jéhovah, 20, boulevard de Stalingrad, 92320 Chatillon</w:t>
      </w:r>
    </w:p>
    <w:p w:rsidR="00D05538" w:rsidRPr="00D05538" w:rsidRDefault="00D05538" w:rsidP="00D05538">
      <w:pPr>
        <w:pStyle w:val="Paragraphedeliste"/>
        <w:numPr>
          <w:ilvl w:val="0"/>
          <w:numId w:val="14"/>
        </w:numPr>
        <w:spacing w:after="0" w:line="240" w:lineRule="auto"/>
        <w:ind w:left="567" w:hanging="283"/>
        <w:cnfStyle w:val="101000000000" w:firstRow="1" w:lastRow="0" w:firstColumn="1" w:lastColumn="0" w:oddVBand="0" w:evenVBand="0" w:oddHBand="0" w:evenHBand="0" w:firstRowFirstColumn="0" w:firstRowLastColumn="0" w:lastRowFirstColumn="0" w:lastRowLastColumn="0"/>
        <w:rPr>
          <w:rFonts w:cs="Arial"/>
          <w:color w:val="666666"/>
        </w:rPr>
      </w:pPr>
      <w:r w:rsidRPr="00D05538">
        <w:rPr>
          <w:rFonts w:cs="Arial"/>
        </w:rPr>
        <w:t xml:space="preserve">Recommandation HAS plasma, plaquettes, CGR. </w:t>
      </w:r>
      <w:hyperlink r:id="rId7" w:history="1">
        <w:r w:rsidRPr="00D05538">
          <w:rPr>
            <w:rFonts w:cs="Arial"/>
            <w:i/>
            <w:iCs/>
            <w:color w:val="0563C1" w:themeColor="hyperlink"/>
            <w:u w:val="single"/>
          </w:rPr>
          <w:t>https://www.has-sante.fr/</w:t>
        </w:r>
      </w:hyperlink>
    </w:p>
    <w:p w:rsidR="00D05538" w:rsidRPr="00D05538" w:rsidRDefault="00D05538" w:rsidP="00D05538">
      <w:pPr>
        <w:pStyle w:val="Paragraphedeliste"/>
        <w:numPr>
          <w:ilvl w:val="0"/>
          <w:numId w:val="14"/>
        </w:numPr>
        <w:spacing w:after="0" w:line="240" w:lineRule="auto"/>
        <w:ind w:left="567" w:hanging="283"/>
        <w:cnfStyle w:val="101000000000" w:firstRow="1" w:lastRow="0" w:firstColumn="1" w:lastColumn="0" w:oddVBand="0" w:evenVBand="0" w:oddHBand="0" w:evenHBand="0" w:firstRowFirstColumn="0" w:firstRowLastColumn="0" w:lastRowFirstColumn="0" w:lastRowLastColumn="0"/>
        <w:rPr>
          <w:rFonts w:cs="Arial"/>
          <w:color w:val="666666"/>
          <w:lang w:val="en-US"/>
        </w:rPr>
      </w:pPr>
      <w:r w:rsidRPr="00D05538">
        <w:rPr>
          <w:rFonts w:cs="Arial"/>
          <w:lang w:val="en-US"/>
        </w:rPr>
        <w:t xml:space="preserve">Lawson T, </w:t>
      </w:r>
      <w:proofErr w:type="spellStart"/>
      <w:r w:rsidRPr="00D05538">
        <w:rPr>
          <w:rFonts w:cs="Arial"/>
          <w:lang w:val="en-US"/>
        </w:rPr>
        <w:t>RalphC</w:t>
      </w:r>
      <w:proofErr w:type="spellEnd"/>
      <w:r w:rsidRPr="00D05538">
        <w:rPr>
          <w:rFonts w:cs="Arial"/>
          <w:lang w:val="en-US"/>
        </w:rPr>
        <w:t>.</w:t>
      </w:r>
      <w:r w:rsidRPr="00D05538">
        <w:rPr>
          <w:rFonts w:cs="Arial"/>
          <w:color w:val="666666"/>
          <w:lang w:val="en-US"/>
        </w:rPr>
        <w:t xml:space="preserve"> </w:t>
      </w:r>
      <w:r w:rsidRPr="00D05538">
        <w:rPr>
          <w:rFonts w:cs="Arial"/>
          <w:lang w:val="en-US"/>
        </w:rPr>
        <w:t xml:space="preserve">Perioperative Jehovah’s witnesses. Br J </w:t>
      </w:r>
      <w:proofErr w:type="spellStart"/>
      <w:r w:rsidRPr="00D05538">
        <w:rPr>
          <w:rFonts w:cs="Arial"/>
          <w:lang w:val="en-US"/>
        </w:rPr>
        <w:t>Anaesth</w:t>
      </w:r>
      <w:proofErr w:type="spellEnd"/>
      <w:r w:rsidRPr="00D05538">
        <w:rPr>
          <w:rFonts w:cs="Arial"/>
          <w:lang w:val="en-US"/>
        </w:rPr>
        <w:t xml:space="preserve"> 2015; 115:676-87</w:t>
      </w:r>
    </w:p>
    <w:p w:rsidR="00D05538" w:rsidRPr="00D05538" w:rsidRDefault="00D05538" w:rsidP="00D05538">
      <w:pPr>
        <w:pStyle w:val="Paragraphedeliste"/>
        <w:numPr>
          <w:ilvl w:val="0"/>
          <w:numId w:val="14"/>
        </w:numPr>
        <w:spacing w:after="0" w:line="240" w:lineRule="auto"/>
        <w:ind w:left="567" w:hanging="283"/>
        <w:cnfStyle w:val="101000000000" w:firstRow="1" w:lastRow="0" w:firstColumn="1" w:lastColumn="0" w:oddVBand="0" w:evenVBand="0" w:oddHBand="0" w:evenHBand="0" w:firstRowFirstColumn="0" w:firstRowLastColumn="0" w:lastRowFirstColumn="0" w:lastRowLastColumn="0"/>
        <w:rPr>
          <w:rFonts w:cs="Arial"/>
          <w:b/>
        </w:rPr>
      </w:pPr>
      <w:r w:rsidRPr="00D05538">
        <w:rPr>
          <w:rFonts w:cs="Arial"/>
        </w:rPr>
        <w:t>Procédure prise en charge transfusionnelle d’un témoin de Jéhovah « Pole santé Léonard de Vinci 37 Tours »</w:t>
      </w:r>
    </w:p>
    <w:p w:rsidR="00D05538" w:rsidRPr="00D05538" w:rsidRDefault="00D05538" w:rsidP="00D05538">
      <w:pPr>
        <w:pStyle w:val="Paragraphedeliste"/>
        <w:numPr>
          <w:ilvl w:val="0"/>
          <w:numId w:val="14"/>
        </w:numPr>
        <w:spacing w:after="0" w:line="240" w:lineRule="auto"/>
        <w:ind w:left="567" w:hanging="283"/>
        <w:cnfStyle w:val="101000000000" w:firstRow="1" w:lastRow="0" w:firstColumn="1" w:lastColumn="0" w:oddVBand="0" w:evenVBand="0" w:oddHBand="0" w:evenHBand="0" w:firstRowFirstColumn="0" w:firstRowLastColumn="0" w:lastRowFirstColumn="0" w:lastRowLastColumn="0"/>
        <w:rPr>
          <w:rFonts w:cs="Arial"/>
          <w:b/>
        </w:rPr>
      </w:pPr>
      <w:proofErr w:type="spellStart"/>
      <w:r w:rsidRPr="00D05538">
        <w:rPr>
          <w:rFonts w:cs="Arial"/>
        </w:rPr>
        <w:t>Gouezec</w:t>
      </w:r>
      <w:proofErr w:type="spellEnd"/>
      <w:r w:rsidRPr="00D05538">
        <w:rPr>
          <w:rFonts w:cs="Arial"/>
        </w:rPr>
        <w:t xml:space="preserve"> H, </w:t>
      </w:r>
      <w:proofErr w:type="spellStart"/>
      <w:r w:rsidRPr="00D05538">
        <w:rPr>
          <w:rFonts w:cs="Arial"/>
        </w:rPr>
        <w:t>Lerenard</w:t>
      </w:r>
      <w:proofErr w:type="spellEnd"/>
      <w:r w:rsidRPr="00D05538">
        <w:rPr>
          <w:rFonts w:cs="Arial"/>
        </w:rPr>
        <w:t xml:space="preserve"> I, Jan S. et al. Perception par les médecins des conditions de prise en charge d’un témoin de Jéhovah. Transfusion clinique et biologique 2016 ; 23, 196-201</w:t>
      </w:r>
    </w:p>
    <w:p w:rsidR="00470594" w:rsidRDefault="00470594"/>
    <w:p w:rsidR="00470594" w:rsidRDefault="00470594"/>
    <w:p w:rsidR="00470594" w:rsidRDefault="00470594"/>
    <w:p w:rsidR="00470594" w:rsidRDefault="00470594"/>
    <w:p w:rsidR="00470594" w:rsidRDefault="00470594"/>
    <w:p w:rsidR="00470594" w:rsidRDefault="00470594"/>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554F14" w:rsidP="00554F14">
            <w:pPr>
              <w:rPr>
                <w:b w:val="0"/>
                <w:sz w:val="18"/>
              </w:rPr>
            </w:pPr>
            <w:proofErr w:type="spellStart"/>
            <w:proofErr w:type="gramStart"/>
            <w:r w:rsidRPr="00F72E1E">
              <w:rPr>
                <w:sz w:val="18"/>
              </w:rPr>
              <w:t>Dr.SAPEY</w:t>
            </w:r>
            <w:proofErr w:type="spellEnd"/>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D05538" w:rsidRPr="00D05538" w:rsidRDefault="00D05538" w:rsidP="00D05538">
      <w:pPr>
        <w:contextualSpacing/>
        <w:cnfStyle w:val="101000000000" w:firstRow="1" w:lastRow="0" w:firstColumn="1" w:lastColumn="0" w:oddVBand="0" w:evenVBand="0" w:oddHBand="0" w:evenHBand="0" w:firstRowFirstColumn="0" w:firstRowLastColumn="0" w:lastRowFirstColumn="0" w:lastRowLastColumn="0"/>
        <w:rPr>
          <w:rFonts w:ascii="Calibri" w:hAnsi="Calibri"/>
          <w:b/>
          <w:i/>
          <w:sz w:val="24"/>
          <w:u w:val="single"/>
        </w:rPr>
      </w:pPr>
      <w:r w:rsidRPr="00D05538">
        <w:rPr>
          <w:rFonts w:ascii="Calibri" w:hAnsi="Calibri"/>
          <w:b/>
          <w:i/>
          <w:sz w:val="24"/>
          <w:u w:val="single"/>
        </w:rPr>
        <w:t>Introduction</w:t>
      </w: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rPr>
      </w:pPr>
    </w:p>
    <w:p w:rsidR="00D05538" w:rsidRDefault="00D05538" w:rsidP="00D05538">
      <w:pPr>
        <w:tabs>
          <w:tab w:val="left" w:pos="3510"/>
          <w:tab w:val="left" w:leader="dot" w:pos="5400"/>
        </w:tabs>
        <w:ind w:left="291" w:right="288" w:firstLine="283"/>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Les convictions religieuses des témoins de Jéhovah les conduisent à refuser l’administration de sang hétérologue, de certains produits dérivés du sang ainsi que de certaines techniques d’épargne sanguine.</w:t>
      </w:r>
    </w:p>
    <w:p w:rsidR="00D05538" w:rsidRPr="00D05538" w:rsidRDefault="00D05538" w:rsidP="00D05538">
      <w:pPr>
        <w:tabs>
          <w:tab w:val="left" w:pos="3510"/>
          <w:tab w:val="left" w:leader="dot" w:pos="5400"/>
        </w:tabs>
        <w:ind w:left="291" w:right="288" w:firstLine="283"/>
        <w:jc w:val="both"/>
        <w:cnfStyle w:val="101000000000" w:firstRow="1" w:lastRow="0" w:firstColumn="1" w:lastColumn="0" w:oddVBand="0" w:evenVBand="0" w:oddHBand="0" w:evenHBand="0" w:firstRowFirstColumn="0" w:firstRowLastColumn="0" w:lastRowFirstColumn="0" w:lastRowLastColumn="0"/>
        <w:rPr>
          <w:rFonts w:cs="Arial"/>
          <w:szCs w:val="20"/>
        </w:rPr>
      </w:pPr>
    </w:p>
    <w:p w:rsidR="00D05538" w:rsidRPr="00D05538" w:rsidRDefault="00D05538" w:rsidP="00D05538">
      <w:pPr>
        <w:tabs>
          <w:tab w:val="left" w:pos="3510"/>
          <w:tab w:val="left" w:leader="dot" w:pos="5400"/>
        </w:tabs>
        <w:jc w:val="both"/>
        <w:cnfStyle w:val="101000000000" w:firstRow="1" w:lastRow="0" w:firstColumn="1" w:lastColumn="0" w:oddVBand="0" w:evenVBand="0" w:oddHBand="0" w:evenHBand="0" w:firstRowFirstColumn="0" w:firstRowLastColumn="0" w:lastRowFirstColumn="0" w:lastRowLastColumn="0"/>
        <w:rPr>
          <w:rFonts w:cs="Arial"/>
          <w:b/>
          <w:i/>
          <w:szCs w:val="20"/>
          <w:u w:val="single"/>
        </w:rPr>
      </w:pPr>
      <w:r w:rsidRPr="00D05538">
        <w:rPr>
          <w:rFonts w:cs="Arial"/>
          <w:b/>
          <w:i/>
          <w:szCs w:val="20"/>
          <w:u w:val="single"/>
        </w:rPr>
        <w:t>Quels sont les produits acceptés par les témoins de Jéhovah :</w:t>
      </w:r>
    </w:p>
    <w:p w:rsidR="00D05538" w:rsidRPr="00D05538" w:rsidRDefault="00D05538" w:rsidP="00D05538">
      <w:pPr>
        <w:tabs>
          <w:tab w:val="left" w:pos="3510"/>
          <w:tab w:val="left" w:leader="dot" w:pos="5400"/>
        </w:tabs>
        <w:ind w:left="291" w:right="288" w:firstLine="283"/>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i/>
          <w:color w:val="FF0000"/>
          <w:szCs w:val="20"/>
          <w:u w:val="single"/>
        </w:rPr>
        <w:t>OUI</w:t>
      </w:r>
      <w:r w:rsidRPr="00D05538">
        <w:rPr>
          <w:rFonts w:cs="Arial"/>
          <w:color w:val="FF0000"/>
          <w:szCs w:val="20"/>
        </w:rPr>
        <w:t> </w:t>
      </w:r>
      <w:r w:rsidRPr="00D05538">
        <w:rPr>
          <w:rFonts w:cs="Arial"/>
          <w:szCs w:val="20"/>
        </w:rPr>
        <w:t xml:space="preserve">: Remplissage vasculaire : cristalloïdes, colloïdes synthétiques ; CEC, </w:t>
      </w:r>
      <w:proofErr w:type="spellStart"/>
      <w:r w:rsidRPr="00D05538">
        <w:rPr>
          <w:rFonts w:cs="Arial"/>
          <w:szCs w:val="20"/>
        </w:rPr>
        <w:t>cell</w:t>
      </w:r>
      <w:proofErr w:type="spellEnd"/>
      <w:r w:rsidRPr="00D05538">
        <w:rPr>
          <w:rFonts w:cs="Arial"/>
          <w:szCs w:val="20"/>
        </w:rPr>
        <w:t xml:space="preserve"> </w:t>
      </w:r>
      <w:proofErr w:type="spellStart"/>
      <w:r w:rsidRPr="00D05538">
        <w:rPr>
          <w:rFonts w:cs="Arial"/>
          <w:szCs w:val="20"/>
        </w:rPr>
        <w:t>saver</w:t>
      </w:r>
      <w:proofErr w:type="spellEnd"/>
      <w:r w:rsidRPr="00D05538">
        <w:rPr>
          <w:rFonts w:cs="Arial"/>
          <w:szCs w:val="20"/>
        </w:rPr>
        <w:t xml:space="preserve"> </w:t>
      </w:r>
    </w:p>
    <w:p w:rsidR="00D05538" w:rsidRPr="00D05538" w:rsidRDefault="00D05538" w:rsidP="00D05538">
      <w:pPr>
        <w:tabs>
          <w:tab w:val="left" w:pos="3510"/>
          <w:tab w:val="left" w:leader="dot" w:pos="5400"/>
        </w:tabs>
        <w:ind w:left="291" w:right="288" w:firstLine="283"/>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i/>
          <w:color w:val="FF0000"/>
          <w:szCs w:val="20"/>
          <w:u w:val="single"/>
        </w:rPr>
        <w:t>NON</w:t>
      </w:r>
      <w:r w:rsidRPr="00D05538">
        <w:rPr>
          <w:rFonts w:cs="Arial"/>
          <w:color w:val="FF0000"/>
          <w:szCs w:val="20"/>
        </w:rPr>
        <w:t> </w:t>
      </w:r>
      <w:r w:rsidRPr="00D05538">
        <w:rPr>
          <w:rFonts w:cs="Arial"/>
          <w:szCs w:val="20"/>
        </w:rPr>
        <w:t xml:space="preserve">: Transfusion </w:t>
      </w:r>
      <w:proofErr w:type="spellStart"/>
      <w:r w:rsidRPr="00D05538">
        <w:rPr>
          <w:rFonts w:cs="Arial"/>
          <w:szCs w:val="20"/>
        </w:rPr>
        <w:t>allogénique</w:t>
      </w:r>
      <w:proofErr w:type="spellEnd"/>
      <w:r w:rsidRPr="00D05538">
        <w:rPr>
          <w:rFonts w:cs="Arial"/>
          <w:szCs w:val="20"/>
        </w:rPr>
        <w:t xml:space="preserve"> de sang total, CGR, plaquettes, PFC, le prélèvement préopératoire et le stockage du sang en vue de la transfusion autologue différée.</w:t>
      </w:r>
    </w:p>
    <w:p w:rsidR="00D05538" w:rsidRPr="00D05538" w:rsidRDefault="00D05538" w:rsidP="00D05538">
      <w:pPr>
        <w:tabs>
          <w:tab w:val="left" w:pos="3510"/>
          <w:tab w:val="left" w:leader="dot" w:pos="5400"/>
        </w:tabs>
        <w:jc w:val="both"/>
        <w:cnfStyle w:val="101000000000" w:firstRow="1" w:lastRow="0" w:firstColumn="1" w:lastColumn="0" w:oddVBand="0" w:evenVBand="0" w:oddHBand="0" w:evenHBand="0" w:firstRowFirstColumn="0" w:firstRowLastColumn="0" w:lastRowFirstColumn="0" w:lastRowLastColumn="0"/>
        <w:rPr>
          <w:rFonts w:cs="Arial"/>
          <w:szCs w:val="20"/>
        </w:rPr>
      </w:pPr>
    </w:p>
    <w:p w:rsidR="00D05538" w:rsidRPr="00D05538" w:rsidRDefault="00D05538" w:rsidP="00D05538">
      <w:pPr>
        <w:tabs>
          <w:tab w:val="left" w:pos="3510"/>
          <w:tab w:val="left" w:leader="dot" w:pos="5400"/>
        </w:tabs>
        <w:jc w:val="both"/>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color w:val="FF0000"/>
          <w:szCs w:val="20"/>
        </w:rPr>
        <w:t xml:space="preserve">Au choix du patient : </w:t>
      </w:r>
      <w:r w:rsidRPr="00D05538">
        <w:rPr>
          <w:rFonts w:cs="Arial"/>
          <w:szCs w:val="20"/>
        </w:rPr>
        <w:t xml:space="preserve">Albumine, Immunoglobuline IV, fibrinogène, facteurs de coagulation…. </w:t>
      </w:r>
    </w:p>
    <w:p w:rsidR="00D05538" w:rsidRPr="00D05538" w:rsidRDefault="00D05538" w:rsidP="00D05538">
      <w:pPr>
        <w:tabs>
          <w:tab w:val="left" w:pos="3510"/>
          <w:tab w:val="left" w:leader="dot" w:pos="5400"/>
        </w:tabs>
        <w:jc w:val="both"/>
        <w:cnfStyle w:val="101000000000" w:firstRow="1" w:lastRow="0" w:firstColumn="1" w:lastColumn="0" w:oddVBand="0" w:evenVBand="0" w:oddHBand="0" w:evenHBand="0" w:firstRowFirstColumn="0" w:firstRowLastColumn="0" w:lastRowFirstColumn="0" w:lastRowLastColumn="0"/>
        <w:rPr>
          <w:rFonts w:cs="Arial"/>
          <w:szCs w:val="20"/>
        </w:rPr>
      </w:pPr>
    </w:p>
    <w:p w:rsidR="00D05538" w:rsidRPr="00D05538" w:rsidRDefault="00D05538" w:rsidP="00D05538">
      <w:pPr>
        <w:tabs>
          <w:tab w:val="left" w:pos="3510"/>
          <w:tab w:val="left" w:leader="dot" w:pos="5400"/>
        </w:tabs>
        <w:ind w:right="288" w:firstLine="142"/>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Ce qui importe en l’occurrence est l’assurance que le sang fasse toujours partie de l’organisme, même par le biais d’une extension artificielle du système circulatoire comme la CEC. Les facteurs de coagulation et l’EPO obtenus par génie génétique sont acceptés puisqu’ils ne sont pas d’origine humaine.</w:t>
      </w:r>
    </w:p>
    <w:p w:rsidR="00D05538" w:rsidRPr="00D05538" w:rsidRDefault="00D05538" w:rsidP="00D05538">
      <w:pPr>
        <w:ind w:left="1560"/>
        <w:cnfStyle w:val="101000000000" w:firstRow="1" w:lastRow="0" w:firstColumn="1" w:lastColumn="0" w:oddVBand="0" w:evenVBand="0" w:oddHBand="0" w:evenHBand="0" w:firstRowFirstColumn="0" w:firstRowLastColumn="0" w:lastRowFirstColumn="0" w:lastRowLastColumn="0"/>
        <w:rPr>
          <w:rFonts w:ascii="Calibri" w:hAnsi="Calibri"/>
        </w:rPr>
      </w:pPr>
    </w:p>
    <w:p w:rsidR="00D05538" w:rsidRPr="00D05538" w:rsidRDefault="00D05538" w:rsidP="00D05538">
      <w:pPr>
        <w:contextualSpacing/>
        <w:cnfStyle w:val="101000000000" w:firstRow="1" w:lastRow="0" w:firstColumn="1" w:lastColumn="0" w:oddVBand="0" w:evenVBand="0" w:oddHBand="0" w:evenHBand="0" w:firstRowFirstColumn="0" w:firstRowLastColumn="0" w:lastRowFirstColumn="0" w:lastRowLastColumn="0"/>
        <w:rPr>
          <w:rFonts w:ascii="Calibri" w:hAnsi="Calibri"/>
          <w:b/>
          <w:i/>
          <w:sz w:val="20"/>
          <w:u w:val="single"/>
        </w:rPr>
      </w:pPr>
      <w:r w:rsidRPr="00D05538">
        <w:rPr>
          <w:rFonts w:ascii="Calibri" w:hAnsi="Calibri"/>
          <w:b/>
          <w:i/>
          <w:u w:val="single"/>
        </w:rPr>
        <w:t>Prise en charge en dehors de l’urgence</w:t>
      </w: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4"/>
          <w:u w:val="single"/>
        </w:rPr>
      </w:pPr>
    </w:p>
    <w:p w:rsidR="00D05538" w:rsidRPr="00D05538" w:rsidRDefault="00D05538" w:rsidP="00D05538">
      <w:pPr>
        <w:tabs>
          <w:tab w:val="left" w:pos="3510"/>
          <w:tab w:val="left" w:leader="dot" w:pos="5400"/>
        </w:tabs>
        <w:spacing w:line="276" w:lineRule="auto"/>
        <w:ind w:left="142" w:right="288"/>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Il est important que le patient soit informé du risque de transfusion lors de l’entretien qui devra être pluridisciplinaire (anesthésiste, chirurgien, médecin…)</w:t>
      </w:r>
    </w:p>
    <w:p w:rsidR="00D05538" w:rsidRPr="00D05538" w:rsidRDefault="00D05538" w:rsidP="00D05538">
      <w:pPr>
        <w:tabs>
          <w:tab w:val="left" w:pos="3510"/>
          <w:tab w:val="left" w:leader="dot" w:pos="5400"/>
        </w:tabs>
        <w:spacing w:line="276" w:lineRule="auto"/>
        <w:ind w:left="142" w:right="288"/>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L’information donnée lors de cet entretien doit être loyale, claire, adaptée au patient et va porter sur les risques fréquents ou graves normalement prévisibles.</w:t>
      </w:r>
    </w:p>
    <w:p w:rsidR="00D05538" w:rsidRPr="00D05538" w:rsidRDefault="00D05538" w:rsidP="00D05538">
      <w:pPr>
        <w:tabs>
          <w:tab w:val="left" w:pos="3510"/>
          <w:tab w:val="left" w:leader="dot" w:pos="5400"/>
        </w:tabs>
        <w:spacing w:line="360" w:lineRule="auto"/>
        <w:ind w:left="142" w:right="288"/>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Le patient doit pouvoir exposer son appartenance à la communauté et exposer clairement ses choix pour les techniques ou produits qu’il accepte ou refuse.</w:t>
      </w:r>
    </w:p>
    <w:p w:rsidR="00D05538" w:rsidRPr="00D05538" w:rsidRDefault="00D05538" w:rsidP="00D05538">
      <w:pPr>
        <w:tabs>
          <w:tab w:val="left" w:pos="3510"/>
          <w:tab w:val="left" w:leader="dot" w:pos="5400"/>
        </w:tabs>
        <w:spacing w:line="360" w:lineRule="auto"/>
        <w:ind w:left="142" w:right="288"/>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Le patient peut se faire assister d’une personne de confiance (</w:t>
      </w:r>
      <w:r w:rsidRPr="00D05538">
        <w:rPr>
          <w:rFonts w:cs="Arial"/>
          <w:i/>
          <w:szCs w:val="20"/>
        </w:rPr>
        <w:t>loi 04/03/2002</w:t>
      </w:r>
      <w:r w:rsidRPr="00D05538">
        <w:rPr>
          <w:rFonts w:cs="Arial"/>
          <w:szCs w:val="20"/>
        </w:rPr>
        <w:t>), qui peut être ensuite consultée avec accord du patient si celui-ci ne peut pas exprimer sa volonté. Il faut s’assurer et bien noter sur le dossier médical que le patient a bien exprimé ses choix en toute liberté.</w:t>
      </w: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4"/>
          <w:u w:val="single"/>
        </w:rPr>
      </w:pP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4"/>
          <w:u w:val="single"/>
        </w:rPr>
      </w:pP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4"/>
          <w:u w:val="single"/>
        </w:rPr>
      </w:pP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4"/>
          <w:u w:val="single"/>
        </w:rPr>
      </w:pP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4"/>
          <w:u w:val="single"/>
        </w:rPr>
      </w:pPr>
    </w:p>
    <w:p w:rsidR="00D05538" w:rsidRPr="00D05538" w:rsidRDefault="00D05538" w:rsidP="00D05538">
      <w:pPr>
        <w:tabs>
          <w:tab w:val="left" w:pos="3510"/>
          <w:tab w:val="left" w:leader="dot" w:pos="5400"/>
        </w:tabs>
        <w:spacing w:line="360" w:lineRule="auto"/>
        <w:ind w:left="142" w:right="288" w:firstLine="284"/>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L’équipe médicale, ne doit se priver de telle ou telle thérapeutique, si une situation mettait en jeu le pronostic vital du patient.</w:t>
      </w:r>
    </w:p>
    <w:p w:rsidR="00D05538" w:rsidRPr="00D05538" w:rsidRDefault="00D05538" w:rsidP="00D05538">
      <w:pPr>
        <w:tabs>
          <w:tab w:val="left" w:pos="3510"/>
          <w:tab w:val="left" w:leader="dot" w:pos="5400"/>
        </w:tabs>
        <w:spacing w:line="276" w:lineRule="auto"/>
        <w:ind w:left="142" w:right="288" w:firstLine="284"/>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 xml:space="preserve">Il doit aussi être défini lors de cet entretien et noter dans le dossier médical, les éventuelles procédures d’épargne sanguine qui seront utilisables (fer injectable, EPO, </w:t>
      </w:r>
      <w:proofErr w:type="spellStart"/>
      <w:r w:rsidRPr="00D05538">
        <w:rPr>
          <w:rFonts w:cs="Arial"/>
          <w:szCs w:val="20"/>
        </w:rPr>
        <w:t>cell</w:t>
      </w:r>
      <w:proofErr w:type="spellEnd"/>
      <w:r w:rsidRPr="00D05538">
        <w:rPr>
          <w:rFonts w:cs="Arial"/>
          <w:szCs w:val="20"/>
        </w:rPr>
        <w:t xml:space="preserve"> </w:t>
      </w:r>
      <w:proofErr w:type="spellStart"/>
      <w:r w:rsidRPr="00D05538">
        <w:rPr>
          <w:rFonts w:cs="Arial"/>
          <w:szCs w:val="20"/>
        </w:rPr>
        <w:t>saver</w:t>
      </w:r>
      <w:proofErr w:type="spellEnd"/>
      <w:r w:rsidRPr="00D05538">
        <w:rPr>
          <w:rFonts w:cs="Arial"/>
          <w:szCs w:val="20"/>
        </w:rPr>
        <w:t xml:space="preserve">, </w:t>
      </w:r>
      <w:proofErr w:type="spellStart"/>
      <w:r w:rsidRPr="00D05538">
        <w:rPr>
          <w:rFonts w:cs="Arial"/>
          <w:szCs w:val="20"/>
        </w:rPr>
        <w:t>exacyl</w:t>
      </w:r>
      <w:proofErr w:type="spellEnd"/>
      <w:r w:rsidRPr="00D05538">
        <w:rPr>
          <w:rFonts w:cs="Arial"/>
          <w:szCs w:val="20"/>
        </w:rPr>
        <w:t>…).</w:t>
      </w:r>
    </w:p>
    <w:p w:rsidR="00D05538" w:rsidRPr="00D05538" w:rsidRDefault="00D05538" w:rsidP="00D05538">
      <w:pPr>
        <w:tabs>
          <w:tab w:val="left" w:pos="3510"/>
          <w:tab w:val="left" w:leader="dot" w:pos="5400"/>
        </w:tabs>
        <w:spacing w:line="276" w:lineRule="auto"/>
        <w:ind w:left="142" w:right="288" w:firstLine="284"/>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La prise en charge préopératoire d’une chirurgie hémorragique s’accompagne d’une évaluation des besoins basés sur le volume de saignement estimé, le taux d’hémoglobine et les comorbidités du patient. A partir de ce bilan, il est possible de « quantifier » le risque d’avoir recours à une transfusion sanguine. Ce calcul, ne constitue pas une assurance formelle de non-transfusion, mais une base de discussion entre le médecin et le patient.</w:t>
      </w:r>
    </w:p>
    <w:p w:rsidR="00D05538" w:rsidRPr="00D05538" w:rsidRDefault="00D05538" w:rsidP="00D05538">
      <w:pPr>
        <w:tabs>
          <w:tab w:val="left" w:pos="3510"/>
          <w:tab w:val="left" w:leader="dot" w:pos="5400"/>
        </w:tabs>
        <w:spacing w:line="276" w:lineRule="auto"/>
        <w:ind w:left="142" w:right="288" w:firstLine="284"/>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Un compte rendu doit être rédigé, archivé dans le dossier du patient et être si possible approuvé par le patient (signature mais non obligatoire) tout du moins bien noter que l’information a été donnée et par qui. En cas de litige, ou de désaccord insurmontable, le médecin peut alors refuser de prendre en charge le patient.</w:t>
      </w:r>
    </w:p>
    <w:p w:rsidR="00D05538" w:rsidRPr="00D05538" w:rsidRDefault="00D05538" w:rsidP="00D05538">
      <w:pPr>
        <w:tabs>
          <w:tab w:val="left" w:pos="3510"/>
          <w:tab w:val="left" w:leader="dot" w:pos="5400"/>
        </w:tabs>
        <w:spacing w:after="0" w:line="360" w:lineRule="auto"/>
        <w:ind w:left="142" w:right="288" w:firstLine="284"/>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Tout médecin en dehors de l’urgence vitale, peut refuser de prendre en charge un patient qui fixe des limites à sa liberté de prescription, pour autant qu’il n’en résulte aucun dommage et que la vie du malade ne soit pas mise en danger par ce refus.</w:t>
      </w: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4"/>
          <w:u w:val="single"/>
        </w:rPr>
      </w:pPr>
    </w:p>
    <w:p w:rsidR="00D05538" w:rsidRPr="00D05538" w:rsidRDefault="00D05538" w:rsidP="00D05538">
      <w:pPr>
        <w:cnfStyle w:val="101000000000" w:firstRow="1" w:lastRow="0" w:firstColumn="1" w:lastColumn="0" w:oddVBand="0" w:evenVBand="0" w:oddHBand="0" w:evenHBand="0" w:firstRowFirstColumn="0" w:firstRowLastColumn="0" w:lastRowFirstColumn="0" w:lastRowLastColumn="0"/>
        <w:rPr>
          <w:rFonts w:ascii="Calibri" w:hAnsi="Calibri"/>
          <w:u w:val="single"/>
        </w:rPr>
      </w:pPr>
    </w:p>
    <w:p w:rsidR="00D05538" w:rsidRPr="00D05538" w:rsidRDefault="00D05538" w:rsidP="00D05538">
      <w:pPr>
        <w:contextualSpacing/>
        <w:cnfStyle w:val="101000000000" w:firstRow="1" w:lastRow="0" w:firstColumn="1" w:lastColumn="0" w:oddVBand="0" w:evenVBand="0" w:oddHBand="0" w:evenHBand="0" w:firstRowFirstColumn="0" w:firstRowLastColumn="0" w:lastRowFirstColumn="0" w:lastRowLastColumn="0"/>
        <w:rPr>
          <w:rFonts w:ascii="Calibri" w:hAnsi="Calibri"/>
          <w:b/>
          <w:i/>
          <w:u w:val="single"/>
        </w:rPr>
      </w:pPr>
      <w:r w:rsidRPr="00D05538">
        <w:rPr>
          <w:rFonts w:ascii="Calibri" w:hAnsi="Calibri"/>
          <w:b/>
          <w:i/>
          <w:u w:val="single"/>
        </w:rPr>
        <w:t>Prise en charge en urgence</w:t>
      </w: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color w:val="5F497A"/>
          <w:sz w:val="28"/>
          <w:u w:val="single"/>
        </w:rPr>
      </w:pPr>
    </w:p>
    <w:p w:rsidR="00D05538" w:rsidRPr="00D05538" w:rsidRDefault="00D05538" w:rsidP="00D05538">
      <w:pPr>
        <w:numPr>
          <w:ilvl w:val="0"/>
          <w:numId w:val="12"/>
        </w:numPr>
        <w:ind w:left="709" w:hanging="283"/>
        <w:cnfStyle w:val="101000000000" w:firstRow="1" w:lastRow="0" w:firstColumn="1" w:lastColumn="0" w:oddVBand="0" w:evenVBand="0" w:oddHBand="0" w:evenHBand="0" w:firstRowFirstColumn="0" w:firstRowLastColumn="0" w:lastRowFirstColumn="0" w:lastRowLastColumn="0"/>
        <w:rPr>
          <w:rFonts w:ascii="Calibri" w:hAnsi="Calibri"/>
          <w:color w:val="365F91"/>
        </w:rPr>
      </w:pPr>
      <w:r w:rsidRPr="00D05538">
        <w:rPr>
          <w:rFonts w:ascii="Calibri" w:hAnsi="Calibri"/>
          <w:color w:val="365F91"/>
        </w:rPr>
        <w:t>Patient majeur</w:t>
      </w:r>
    </w:p>
    <w:p w:rsidR="00D05538" w:rsidRPr="00D05538" w:rsidRDefault="00D05538" w:rsidP="00D05538">
      <w:pPr>
        <w:ind w:left="1418"/>
        <w:cnfStyle w:val="101000000000" w:firstRow="1" w:lastRow="0" w:firstColumn="1" w:lastColumn="0" w:oddVBand="0" w:evenVBand="0" w:oddHBand="0" w:evenHBand="0" w:firstRowFirstColumn="0" w:firstRowLastColumn="0" w:lastRowFirstColumn="0" w:lastRowLastColumn="0"/>
        <w:rPr>
          <w:rFonts w:ascii="Calibri" w:hAnsi="Calibri"/>
          <w:color w:val="365F91"/>
        </w:rPr>
      </w:pPr>
    </w:p>
    <w:p w:rsidR="00D05538" w:rsidRPr="00D05538" w:rsidRDefault="00D05538" w:rsidP="00D05538">
      <w:pPr>
        <w:ind w:left="1418"/>
        <w:cnfStyle w:val="101000000000" w:firstRow="1" w:lastRow="0" w:firstColumn="1" w:lastColumn="0" w:oddVBand="0" w:evenVBand="0" w:oddHBand="0" w:evenHBand="0" w:firstRowFirstColumn="0" w:firstRowLastColumn="0" w:lastRowFirstColumn="0" w:lastRowLastColumn="0"/>
        <w:rPr>
          <w:rFonts w:ascii="Calibri" w:hAnsi="Calibri"/>
          <w:color w:val="365F91"/>
        </w:rPr>
      </w:pPr>
      <w:r w:rsidRPr="00D05538">
        <w:rPr>
          <w:rFonts w:ascii="Calibri" w:hAnsi="Calibri"/>
          <w:noProof/>
          <w:color w:val="365F91"/>
          <w:lang w:eastAsia="fr-FR"/>
        </w:rPr>
        <mc:AlternateContent>
          <mc:Choice Requires="wps">
            <w:drawing>
              <wp:anchor distT="0" distB="0" distL="114300" distR="114300" simplePos="0" relativeHeight="251661312" behindDoc="0" locked="0" layoutInCell="1" allowOverlap="1" wp14:anchorId="435235C9" wp14:editId="43E63D28">
                <wp:simplePos x="0" y="0"/>
                <wp:positionH relativeFrom="column">
                  <wp:posOffset>-63500</wp:posOffset>
                </wp:positionH>
                <wp:positionV relativeFrom="paragraph">
                  <wp:posOffset>73025</wp:posOffset>
                </wp:positionV>
                <wp:extent cx="5467350" cy="6381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5467350" cy="638175"/>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D05538" w:rsidRPr="00E849A9" w:rsidRDefault="00D05538" w:rsidP="00D05538">
                            <w:pPr>
                              <w:jc w:val="center"/>
                              <w:rPr>
                                <w:b/>
                                <w:color w:val="000000" w:themeColor="text1"/>
                                <w:sz w:val="28"/>
                              </w:rPr>
                            </w:pPr>
                            <w:r w:rsidRPr="00E849A9">
                              <w:rPr>
                                <w:b/>
                                <w:color w:val="000000" w:themeColor="text1"/>
                                <w:sz w:val="28"/>
                              </w:rPr>
                              <w:t>Information obligatoire de l’administrateur de garde de l’établissement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235C9" id="Rectangle à coins arrondis 5" o:spid="_x0000_s1027" style="position:absolute;left:0;text-align:left;margin-left:-5pt;margin-top:5.75pt;width:43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" fillcolor="#f7bda4" strokecolor="#ed7d31" strokeweight=".5pt">
                <v:fill color2="#f8a581" rotate="t" colors="0 #f7bda4;.5 #f5b195;1 #f8a581" focus="100%" type="gradient">
                  <o:fill v:ext="view" type="gradientUnscaled"/>
                </v:fill>
                <v:stroke joinstyle="miter"/>
                <v:textbox>
                  <w:txbxContent>
                    <w:p w:rsidR="00D05538" w:rsidRPr="00E849A9" w:rsidRDefault="00D05538" w:rsidP="00D05538">
                      <w:pPr>
                        <w:jc w:val="center"/>
                        <w:rPr>
                          <w:b/>
                          <w:color w:val="000000" w:themeColor="text1"/>
                          <w:sz w:val="28"/>
                        </w:rPr>
                      </w:pPr>
                      <w:r w:rsidRPr="00E849A9">
                        <w:rPr>
                          <w:b/>
                          <w:color w:val="000000" w:themeColor="text1"/>
                          <w:sz w:val="28"/>
                        </w:rPr>
                        <w:t>Information obligatoire de l’administrateur de garde de l’établissement de santé</w:t>
                      </w:r>
                    </w:p>
                  </w:txbxContent>
                </v:textbox>
              </v:roundrect>
            </w:pict>
          </mc:Fallback>
        </mc:AlternateContent>
      </w:r>
    </w:p>
    <w:p w:rsidR="00D05538" w:rsidRPr="00D05538" w:rsidRDefault="00D05538" w:rsidP="00D05538">
      <w:pPr>
        <w:ind w:left="1418"/>
        <w:cnfStyle w:val="101000000000" w:firstRow="1" w:lastRow="0" w:firstColumn="1" w:lastColumn="0" w:oddVBand="0" w:evenVBand="0" w:oddHBand="0" w:evenHBand="0" w:firstRowFirstColumn="0" w:firstRowLastColumn="0" w:lastRowFirstColumn="0" w:lastRowLastColumn="0"/>
        <w:rPr>
          <w:rFonts w:ascii="Calibri" w:hAnsi="Calibri"/>
          <w:color w:val="365F91"/>
        </w:rPr>
      </w:pPr>
    </w:p>
    <w:p w:rsidR="00D05538" w:rsidRPr="00D05538" w:rsidRDefault="00D05538" w:rsidP="00D05538">
      <w:pPr>
        <w:ind w:left="1418"/>
        <w:cnfStyle w:val="101000000000" w:firstRow="1" w:lastRow="0" w:firstColumn="1" w:lastColumn="0" w:oddVBand="0" w:evenVBand="0" w:oddHBand="0" w:evenHBand="0" w:firstRowFirstColumn="0" w:firstRowLastColumn="0" w:lastRowFirstColumn="0" w:lastRowLastColumn="0"/>
        <w:rPr>
          <w:rFonts w:ascii="Calibri" w:hAnsi="Calibri"/>
          <w:color w:val="365F91"/>
        </w:rPr>
      </w:pPr>
    </w:p>
    <w:p w:rsidR="00D05538" w:rsidRPr="00D05538" w:rsidRDefault="00D05538" w:rsidP="00D05538">
      <w:pPr>
        <w:ind w:left="2127" w:hanging="567"/>
        <w:cnfStyle w:val="101000000000" w:firstRow="1" w:lastRow="0" w:firstColumn="1" w:lastColumn="0" w:oddVBand="0" w:evenVBand="0" w:oddHBand="0" w:evenHBand="0" w:firstRowFirstColumn="0" w:firstRowLastColumn="0" w:lastRowFirstColumn="0" w:lastRowLastColumn="0"/>
        <w:rPr>
          <w:rFonts w:ascii="Calibri" w:hAnsi="Calibri"/>
        </w:rPr>
      </w:pPr>
    </w:p>
    <w:p w:rsidR="00D05538" w:rsidRPr="00D05538" w:rsidRDefault="00D05538" w:rsidP="00D05538">
      <w:pPr>
        <w:tabs>
          <w:tab w:val="left" w:pos="3510"/>
          <w:tab w:val="left" w:leader="dot" w:pos="5400"/>
        </w:tabs>
        <w:spacing w:line="360" w:lineRule="auto"/>
        <w:ind w:right="288" w:firstLine="426"/>
        <w:jc w:val="both"/>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Selon la loi, le médecin doit être neutre. Le refus que le patient a préalablement manifesté doit être éclairé, certain et personnel. Le médecin n’a pas à porter de jugement de valeur et se doit de respecter les convictions des patients.</w:t>
      </w:r>
    </w:p>
    <w:p w:rsidR="00D05538" w:rsidRPr="00D05538" w:rsidRDefault="00D05538" w:rsidP="00D05538">
      <w:pPr>
        <w:tabs>
          <w:tab w:val="left" w:pos="3510"/>
          <w:tab w:val="left" w:leader="dot" w:pos="5400"/>
        </w:tabs>
        <w:spacing w:line="360" w:lineRule="auto"/>
        <w:ind w:left="291" w:right="288" w:firstLine="283"/>
        <w:jc w:val="both"/>
        <w:cnfStyle w:val="101000000000" w:firstRow="1" w:lastRow="0" w:firstColumn="1" w:lastColumn="0" w:oddVBand="0" w:evenVBand="0" w:oddHBand="0" w:evenHBand="0" w:firstRowFirstColumn="0" w:firstRowLastColumn="0" w:lastRowFirstColumn="0" w:lastRowLastColumn="0"/>
        <w:rPr>
          <w:rFonts w:cs="Arial"/>
          <w:szCs w:val="20"/>
        </w:rPr>
      </w:pPr>
    </w:p>
    <w:p w:rsidR="00D05538" w:rsidRPr="00D05538" w:rsidRDefault="00D05538" w:rsidP="00D05538">
      <w:pPr>
        <w:tabs>
          <w:tab w:val="left" w:pos="3510"/>
          <w:tab w:val="left" w:leader="dot" w:pos="5400"/>
        </w:tabs>
        <w:spacing w:line="360" w:lineRule="auto"/>
        <w:ind w:left="291" w:right="288" w:firstLine="283"/>
        <w:jc w:val="both"/>
        <w:cnfStyle w:val="101000000000" w:firstRow="1" w:lastRow="0" w:firstColumn="1" w:lastColumn="0" w:oddVBand="0" w:evenVBand="0" w:oddHBand="0" w:evenHBand="0" w:firstRowFirstColumn="0" w:firstRowLastColumn="0" w:lastRowFirstColumn="0" w:lastRowLastColumn="0"/>
        <w:rPr>
          <w:rFonts w:cs="Arial"/>
          <w:szCs w:val="20"/>
        </w:rPr>
      </w:pPr>
    </w:p>
    <w:p w:rsidR="00D05538" w:rsidRPr="00D05538" w:rsidRDefault="00D05538" w:rsidP="00D05538">
      <w:pPr>
        <w:tabs>
          <w:tab w:val="left" w:pos="3510"/>
          <w:tab w:val="left" w:leader="dot" w:pos="5400"/>
        </w:tabs>
        <w:spacing w:line="360" w:lineRule="auto"/>
        <w:ind w:left="291" w:right="288" w:firstLine="283"/>
        <w:jc w:val="both"/>
        <w:cnfStyle w:val="101000000000" w:firstRow="1" w:lastRow="0" w:firstColumn="1" w:lastColumn="0" w:oddVBand="0" w:evenVBand="0" w:oddHBand="0" w:evenHBand="0" w:firstRowFirstColumn="0" w:firstRowLastColumn="0" w:lastRowFirstColumn="0" w:lastRowLastColumn="0"/>
        <w:rPr>
          <w:rFonts w:cs="Arial"/>
          <w:szCs w:val="20"/>
        </w:rPr>
      </w:pPr>
    </w:p>
    <w:p w:rsidR="00D05538" w:rsidRPr="00D05538" w:rsidRDefault="00D05538" w:rsidP="00D05538">
      <w:pPr>
        <w:tabs>
          <w:tab w:val="left" w:pos="3510"/>
          <w:tab w:val="left" w:leader="dot" w:pos="5400"/>
        </w:tabs>
        <w:spacing w:line="360" w:lineRule="auto"/>
        <w:ind w:right="288" w:firstLine="426"/>
        <w:cnfStyle w:val="101000000000" w:firstRow="1" w:lastRow="0" w:firstColumn="1" w:lastColumn="0" w:oddVBand="0" w:evenVBand="0" w:oddHBand="0" w:evenHBand="0" w:firstRowFirstColumn="0" w:firstRowLastColumn="0" w:lastRowFirstColumn="0" w:lastRowLastColumn="0"/>
        <w:rPr>
          <w:rFonts w:ascii="Calibri" w:hAnsi="Calibri"/>
        </w:rPr>
      </w:pPr>
      <w:r w:rsidRPr="00D05538">
        <w:rPr>
          <w:rFonts w:cs="Arial"/>
          <w:szCs w:val="20"/>
        </w:rPr>
        <w:t xml:space="preserve">Selon la jurisprudence administrative, le médecin peut, après avoir essayé de convaincre le patient, entreprendre les soins nécessaires, s’ils sont indispensables à la survie du patient mais sous conditions qu’il existe un risque vital (par exemple risque cardiaque, taux </w:t>
      </w:r>
      <w:proofErr w:type="spellStart"/>
      <w:r w:rsidRPr="00D05538">
        <w:rPr>
          <w:rFonts w:cs="Arial"/>
          <w:szCs w:val="20"/>
        </w:rPr>
        <w:t>Hb</w:t>
      </w:r>
      <w:proofErr w:type="spellEnd"/>
      <w:r w:rsidRPr="00D05538">
        <w:rPr>
          <w:rFonts w:cs="Arial"/>
          <w:szCs w:val="20"/>
        </w:rPr>
        <w:t xml:space="preserve"> à 3g/</w:t>
      </w:r>
      <w:proofErr w:type="gramStart"/>
      <w:r w:rsidRPr="00D05538">
        <w:rPr>
          <w:rFonts w:cs="Arial"/>
          <w:szCs w:val="20"/>
        </w:rPr>
        <w:t>dl….</w:t>
      </w:r>
      <w:proofErr w:type="gramEnd"/>
      <w:r w:rsidRPr="00D05538">
        <w:rPr>
          <w:rFonts w:cs="Arial"/>
          <w:szCs w:val="20"/>
        </w:rPr>
        <w:t>) et qu’il ne doit pas avoir d’autres alternatives thérapeutiques. Il faut garder les preuves et ne transfuser que ce qui est nécessaire en tenant compte des recommandations HAS pour CGR, Plasma et plaquettes.</w:t>
      </w:r>
    </w:p>
    <w:p w:rsidR="00D05538" w:rsidRPr="00D05538" w:rsidRDefault="00D05538" w:rsidP="00D05538">
      <w:pPr>
        <w:ind w:left="2127" w:hanging="567"/>
        <w:cnfStyle w:val="101000000000" w:firstRow="1" w:lastRow="0" w:firstColumn="1" w:lastColumn="0" w:oddVBand="0" w:evenVBand="0" w:oddHBand="0" w:evenHBand="0" w:firstRowFirstColumn="0" w:firstRowLastColumn="0" w:lastRowFirstColumn="0" w:lastRowLastColumn="0"/>
        <w:rPr>
          <w:rFonts w:ascii="Calibri" w:hAnsi="Calibri"/>
        </w:rPr>
      </w:pPr>
    </w:p>
    <w:p w:rsidR="00D05538" w:rsidRPr="00D05538" w:rsidRDefault="00D05538" w:rsidP="00D05538">
      <w:pPr>
        <w:numPr>
          <w:ilvl w:val="0"/>
          <w:numId w:val="12"/>
        </w:numPr>
        <w:ind w:left="709" w:hanging="283"/>
        <w:cnfStyle w:val="101000000000" w:firstRow="1" w:lastRow="0" w:firstColumn="1" w:lastColumn="0" w:oddVBand="0" w:evenVBand="0" w:oddHBand="0" w:evenHBand="0" w:firstRowFirstColumn="0" w:firstRowLastColumn="0" w:lastRowFirstColumn="0" w:lastRowLastColumn="0"/>
        <w:rPr>
          <w:rFonts w:ascii="Calibri" w:hAnsi="Calibri"/>
          <w:color w:val="365F91"/>
        </w:rPr>
      </w:pPr>
      <w:r w:rsidRPr="00D05538">
        <w:rPr>
          <w:rFonts w:ascii="Calibri" w:hAnsi="Calibri"/>
          <w:color w:val="365F91"/>
        </w:rPr>
        <w:t>Patient mineur</w:t>
      </w:r>
    </w:p>
    <w:p w:rsidR="00D05538" w:rsidRPr="00D05538" w:rsidRDefault="00D05538" w:rsidP="00D05538">
      <w:pPr>
        <w:ind w:left="1418"/>
        <w:cnfStyle w:val="101000000000" w:firstRow="1" w:lastRow="0" w:firstColumn="1" w:lastColumn="0" w:oddVBand="0" w:evenVBand="0" w:oddHBand="0" w:evenHBand="0" w:firstRowFirstColumn="0" w:firstRowLastColumn="0" w:lastRowFirstColumn="0" w:lastRowLastColumn="0"/>
        <w:rPr>
          <w:rFonts w:ascii="Calibri" w:hAnsi="Calibri"/>
          <w:color w:val="365F91"/>
        </w:rPr>
      </w:pPr>
    </w:p>
    <w:p w:rsidR="00D05538" w:rsidRPr="00D05538" w:rsidRDefault="00D05538" w:rsidP="00D05538">
      <w:pPr>
        <w:ind w:left="1418"/>
        <w:cnfStyle w:val="101000000000" w:firstRow="1" w:lastRow="0" w:firstColumn="1" w:lastColumn="0" w:oddVBand="0" w:evenVBand="0" w:oddHBand="0" w:evenHBand="0" w:firstRowFirstColumn="0" w:firstRowLastColumn="0" w:lastRowFirstColumn="0" w:lastRowLastColumn="0"/>
        <w:rPr>
          <w:rFonts w:ascii="Calibri" w:hAnsi="Calibri"/>
          <w:color w:val="365F91"/>
        </w:rPr>
      </w:pPr>
      <w:r w:rsidRPr="00D05538">
        <w:rPr>
          <w:rFonts w:ascii="Calibri" w:hAnsi="Calibri"/>
          <w:noProof/>
          <w:color w:val="365F91"/>
          <w:lang w:eastAsia="fr-FR"/>
        </w:rPr>
        <mc:AlternateContent>
          <mc:Choice Requires="wps">
            <w:drawing>
              <wp:anchor distT="0" distB="0" distL="114300" distR="114300" simplePos="0" relativeHeight="251662336" behindDoc="0" locked="0" layoutInCell="1" allowOverlap="1" wp14:anchorId="72C4F8E7" wp14:editId="098D99CD">
                <wp:simplePos x="0" y="0"/>
                <wp:positionH relativeFrom="column">
                  <wp:posOffset>3175</wp:posOffset>
                </wp:positionH>
                <wp:positionV relativeFrom="paragraph">
                  <wp:posOffset>172720</wp:posOffset>
                </wp:positionV>
                <wp:extent cx="5467350" cy="8382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5467350" cy="8382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D05538" w:rsidRPr="00E849A9" w:rsidRDefault="00D05538" w:rsidP="00D05538">
                            <w:pPr>
                              <w:jc w:val="center"/>
                              <w:rPr>
                                <w:b/>
                                <w:color w:val="000000" w:themeColor="text1"/>
                                <w:sz w:val="28"/>
                              </w:rPr>
                            </w:pPr>
                            <w:r>
                              <w:rPr>
                                <w:b/>
                                <w:color w:val="000000" w:themeColor="text1"/>
                                <w:sz w:val="28"/>
                              </w:rPr>
                              <w:t>Information impérative de l’administrateur de garde, prévenant le juge des tutelles via le procureur de la république en fonction de la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4F8E7" id="Rectangle à coins arrondis 6" o:spid="_x0000_s1028" style="position:absolute;left:0;text-align:left;margin-left:.25pt;margin-top:13.6pt;width:430.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" fillcolor="#f7bda4" strokecolor="#ed7d31" strokeweight=".5pt">
                <v:fill color2="#f8a581" rotate="t" colors="0 #f7bda4;.5 #f5b195;1 #f8a581" focus="100%" type="gradient">
                  <o:fill v:ext="view" type="gradientUnscaled"/>
                </v:fill>
                <v:stroke joinstyle="miter"/>
                <v:textbox>
                  <w:txbxContent>
                    <w:p w:rsidR="00D05538" w:rsidRPr="00E849A9" w:rsidRDefault="00D05538" w:rsidP="00D05538">
                      <w:pPr>
                        <w:jc w:val="center"/>
                        <w:rPr>
                          <w:b/>
                          <w:color w:val="000000" w:themeColor="text1"/>
                          <w:sz w:val="28"/>
                        </w:rPr>
                      </w:pPr>
                      <w:r>
                        <w:rPr>
                          <w:b/>
                          <w:color w:val="000000" w:themeColor="text1"/>
                          <w:sz w:val="28"/>
                        </w:rPr>
                        <w:t>Information impérative de l’administrateur de garde, prévenant le juge des tutelles via le procureur de la république en fonction de la situation</w:t>
                      </w:r>
                    </w:p>
                  </w:txbxContent>
                </v:textbox>
              </v:roundrect>
            </w:pict>
          </mc:Fallback>
        </mc:AlternateContent>
      </w:r>
    </w:p>
    <w:p w:rsidR="00D05538" w:rsidRPr="00D05538" w:rsidRDefault="00D05538" w:rsidP="00D05538">
      <w:pPr>
        <w:ind w:left="1418"/>
        <w:cnfStyle w:val="101000000000" w:firstRow="1" w:lastRow="0" w:firstColumn="1" w:lastColumn="0" w:oddVBand="0" w:evenVBand="0" w:oddHBand="0" w:evenHBand="0" w:firstRowFirstColumn="0" w:firstRowLastColumn="0" w:lastRowFirstColumn="0" w:lastRowLastColumn="0"/>
        <w:rPr>
          <w:rFonts w:ascii="Calibri" w:hAnsi="Calibri"/>
          <w:color w:val="365F91"/>
        </w:rPr>
      </w:pPr>
    </w:p>
    <w:p w:rsidR="00D05538" w:rsidRPr="00D05538" w:rsidRDefault="00D05538" w:rsidP="00D05538">
      <w:pPr>
        <w:ind w:left="2127" w:hanging="567"/>
        <w:cnfStyle w:val="101000000000" w:firstRow="1" w:lastRow="0" w:firstColumn="1" w:lastColumn="0" w:oddVBand="0" w:evenVBand="0" w:oddHBand="0" w:evenHBand="0" w:firstRowFirstColumn="0" w:firstRowLastColumn="0" w:lastRowFirstColumn="0" w:lastRowLastColumn="0"/>
        <w:rPr>
          <w:rFonts w:ascii="Calibri" w:hAnsi="Calibri"/>
        </w:rPr>
      </w:pPr>
    </w:p>
    <w:p w:rsidR="00D05538" w:rsidRPr="00D05538" w:rsidRDefault="00D05538" w:rsidP="00D05538">
      <w:pPr>
        <w:numPr>
          <w:ilvl w:val="0"/>
          <w:numId w:val="11"/>
        </w:numPr>
        <w:ind w:left="2127" w:hanging="567"/>
        <w:cnfStyle w:val="101000000000" w:firstRow="1" w:lastRow="0" w:firstColumn="1" w:lastColumn="0" w:oddVBand="0" w:evenVBand="0" w:oddHBand="0" w:evenHBand="0" w:firstRowFirstColumn="0" w:firstRowLastColumn="0" w:lastRowFirstColumn="0" w:lastRowLastColumn="0"/>
        <w:rPr>
          <w:rFonts w:ascii="Calibri" w:hAnsi="Calibri"/>
        </w:rPr>
      </w:pPr>
      <w:proofErr w:type="gramStart"/>
      <w:r w:rsidRPr="00D05538">
        <w:rPr>
          <w:rFonts w:ascii="Calibri" w:hAnsi="Calibri"/>
        </w:rPr>
        <w:t>s’assure</w:t>
      </w:r>
      <w:proofErr w:type="gramEnd"/>
      <w:r w:rsidRPr="00D05538">
        <w:rPr>
          <w:rFonts w:ascii="Calibri" w:hAnsi="Calibri"/>
        </w:rPr>
        <w:t xml:space="preserve"> de la traçabilité des PSL qui transitent dans le dépôt et des PSL transfusés dans les unités de soins.……………………….</w:t>
      </w:r>
    </w:p>
    <w:p w:rsidR="00D05538" w:rsidRPr="00D05538" w:rsidRDefault="00D05538" w:rsidP="00D05538">
      <w:pPr>
        <w:ind w:left="2127"/>
        <w:cnfStyle w:val="101000000000" w:firstRow="1" w:lastRow="0" w:firstColumn="1" w:lastColumn="0" w:oddVBand="0" w:evenVBand="0" w:oddHBand="0" w:evenHBand="0" w:firstRowFirstColumn="0" w:firstRowLastColumn="0" w:lastRowFirstColumn="0" w:lastRowLastColumn="0"/>
        <w:rPr>
          <w:rFonts w:ascii="Calibri" w:hAnsi="Calibri"/>
        </w:rPr>
      </w:pPr>
    </w:p>
    <w:p w:rsidR="00D05538" w:rsidRPr="00D05538" w:rsidRDefault="00D05538" w:rsidP="00D05538">
      <w:pPr>
        <w:tabs>
          <w:tab w:val="left" w:pos="3510"/>
          <w:tab w:val="left" w:leader="dot" w:pos="5400"/>
        </w:tabs>
        <w:spacing w:line="360" w:lineRule="auto"/>
        <w:ind w:left="142" w:right="288" w:firstLine="284"/>
        <w:cnfStyle w:val="101000000000" w:firstRow="1" w:lastRow="0" w:firstColumn="1" w:lastColumn="0" w:oddVBand="0" w:evenVBand="0" w:oddHBand="0" w:evenHBand="0" w:firstRowFirstColumn="0" w:firstRowLastColumn="0" w:lastRowFirstColumn="0" w:lastRowLastColumn="0"/>
        <w:rPr>
          <w:rFonts w:cs="Arial"/>
          <w:szCs w:val="20"/>
        </w:rPr>
      </w:pPr>
      <w:r w:rsidRPr="00D05538">
        <w:rPr>
          <w:rFonts w:cs="Arial"/>
          <w:szCs w:val="20"/>
        </w:rPr>
        <w:t>En pédiatrie, la relation thérapeutique s’inscrit dans un espace à trois dimensions : médecin, enfant et parents. Juridiquement, l’autorité parentale doit être exercée pour protéger l’enfant dans sa sécurité, sa santé et sa moralité, mais elle n’a nullement le droit de vie ou de mort sur lui.</w:t>
      </w:r>
    </w:p>
    <w:p w:rsidR="00D05538" w:rsidRPr="00D05538" w:rsidRDefault="00D05538" w:rsidP="00D05538">
      <w:pPr>
        <w:tabs>
          <w:tab w:val="left" w:pos="3510"/>
          <w:tab w:val="left" w:leader="dot" w:pos="5400"/>
        </w:tabs>
        <w:spacing w:line="360" w:lineRule="auto"/>
        <w:ind w:left="142" w:right="288" w:firstLine="284"/>
        <w:cnfStyle w:val="101000000000" w:firstRow="1" w:lastRow="0" w:firstColumn="1" w:lastColumn="0" w:oddVBand="0" w:evenVBand="0" w:oddHBand="0" w:evenHBand="0" w:firstRowFirstColumn="0" w:firstRowLastColumn="0" w:lastRowFirstColumn="0" w:lastRowLastColumn="0"/>
        <w:rPr>
          <w:rFonts w:ascii="Calibri" w:hAnsi="Calibri"/>
        </w:rPr>
      </w:pPr>
      <w:r w:rsidRPr="00D05538">
        <w:rPr>
          <w:rFonts w:cs="Arial"/>
          <w:szCs w:val="20"/>
        </w:rPr>
        <w:t>Le médecin a toute autorité s’il estime que le représentant légal de l’enfant le met en danger. Si une transfusion est nécessaire, la faire (mesure assistance éducative fixée par le juge des enfants, saisi par le procureur de la république). Dans ce cas, le chef de service prenant l’autorité parentale.</w:t>
      </w:r>
    </w:p>
    <w:p w:rsidR="00D05538" w:rsidRPr="00D05538" w:rsidRDefault="00D05538" w:rsidP="006C3AC0">
      <w:pPr>
        <w:contextualSpacing/>
        <w:cnfStyle w:val="101000000000" w:firstRow="1" w:lastRow="0" w:firstColumn="1" w:lastColumn="0" w:oddVBand="0" w:evenVBand="0" w:oddHBand="0" w:evenHBand="0" w:firstRowFirstColumn="0" w:firstRowLastColumn="0" w:lastRowFirstColumn="0" w:lastRowLastColumn="0"/>
        <w:rPr>
          <w:rFonts w:ascii="Calibri" w:hAnsi="Calibri"/>
          <w:b/>
          <w:i/>
          <w:sz w:val="20"/>
        </w:rPr>
      </w:pPr>
      <w:r w:rsidRPr="00D05538">
        <w:rPr>
          <w:rFonts w:ascii="Calibri" w:hAnsi="Calibri"/>
          <w:b/>
          <w:i/>
          <w:u w:val="single"/>
        </w:rPr>
        <w:t>Conclusion</w:t>
      </w:r>
      <w:r w:rsidRPr="00D05538">
        <w:rPr>
          <w:rFonts w:ascii="Calibri" w:hAnsi="Calibri"/>
          <w:b/>
          <w:i/>
        </w:rPr>
        <w:t> :</w:t>
      </w:r>
    </w:p>
    <w:p w:rsidR="00D05538" w:rsidRPr="00D05538" w:rsidRDefault="00D05538" w:rsidP="00D05538">
      <w:pPr>
        <w:ind w:left="1068"/>
        <w:contextualSpacing/>
        <w:cnfStyle w:val="101000000000" w:firstRow="1" w:lastRow="0" w:firstColumn="1" w:lastColumn="0" w:oddVBand="0" w:evenVBand="0" w:oddHBand="0" w:evenHBand="0" w:firstRowFirstColumn="0" w:firstRowLastColumn="0" w:lastRowFirstColumn="0" w:lastRowLastColumn="0"/>
        <w:rPr>
          <w:rFonts w:ascii="Calibri" w:hAnsi="Calibri"/>
          <w:i/>
          <w:sz w:val="24"/>
        </w:rPr>
      </w:pPr>
    </w:p>
    <w:p w:rsidR="00D05538" w:rsidRPr="00D05538" w:rsidRDefault="00D05538" w:rsidP="00D05538">
      <w:pPr>
        <w:cnfStyle w:val="101000000000" w:firstRow="1" w:lastRow="0" w:firstColumn="1" w:lastColumn="0" w:oddVBand="0" w:evenVBand="0" w:oddHBand="0" w:evenHBand="0" w:firstRowFirstColumn="0" w:firstRowLastColumn="0" w:lastRowFirstColumn="0" w:lastRowLastColumn="0"/>
        <w:rPr>
          <w:rFonts w:cs="Arial"/>
          <w:b/>
          <w:color w:val="FF0000"/>
          <w:szCs w:val="20"/>
        </w:rPr>
      </w:pPr>
      <w:r w:rsidRPr="00D05538">
        <w:rPr>
          <w:rFonts w:cs="Arial"/>
          <w:color w:val="FF0000"/>
          <w:szCs w:val="20"/>
        </w:rPr>
        <w:t>Le médecin peut dans un cadre bien strict passer outre le refus du patient. Il faut le prouver en indiquant clairement dans le dossier médical :</w:t>
      </w:r>
    </w:p>
    <w:p w:rsidR="00D05538" w:rsidRPr="00D05538" w:rsidRDefault="00D05538" w:rsidP="006C3AC0">
      <w:pPr>
        <w:numPr>
          <w:ilvl w:val="0"/>
          <w:numId w:val="11"/>
        </w:numPr>
        <w:spacing w:after="200" w:line="276" w:lineRule="auto"/>
        <w:ind w:left="1701"/>
        <w:contextualSpacing/>
        <w:cnfStyle w:val="101000000000" w:firstRow="1" w:lastRow="0" w:firstColumn="1" w:lastColumn="0" w:oddVBand="0" w:evenVBand="0" w:oddHBand="0" w:evenHBand="0" w:firstRowFirstColumn="0" w:firstRowLastColumn="0" w:lastRowFirstColumn="0" w:lastRowLastColumn="0"/>
        <w:rPr>
          <w:rFonts w:cs="Arial"/>
          <w:b/>
          <w:color w:val="FF0000"/>
          <w:szCs w:val="20"/>
        </w:rPr>
      </w:pPr>
      <w:r w:rsidRPr="00D05538">
        <w:rPr>
          <w:rFonts w:cs="Arial"/>
          <w:color w:val="FF0000"/>
          <w:szCs w:val="20"/>
        </w:rPr>
        <w:t>Tout a été fait pour convaincre le patient</w:t>
      </w:r>
    </w:p>
    <w:p w:rsidR="00D05538" w:rsidRPr="00D05538" w:rsidRDefault="00D05538" w:rsidP="006C3AC0">
      <w:pPr>
        <w:numPr>
          <w:ilvl w:val="0"/>
          <w:numId w:val="11"/>
        </w:numPr>
        <w:spacing w:after="200" w:line="276" w:lineRule="auto"/>
        <w:ind w:left="1701"/>
        <w:contextualSpacing/>
        <w:cnfStyle w:val="101000000000" w:firstRow="1" w:lastRow="0" w:firstColumn="1" w:lastColumn="0" w:oddVBand="0" w:evenVBand="0" w:oddHBand="0" w:evenHBand="0" w:firstRowFirstColumn="0" w:firstRowLastColumn="0" w:lastRowFirstColumn="0" w:lastRowLastColumn="0"/>
        <w:rPr>
          <w:rFonts w:cs="Arial"/>
          <w:b/>
          <w:color w:val="FF0000"/>
          <w:szCs w:val="20"/>
        </w:rPr>
      </w:pPr>
      <w:r w:rsidRPr="00D05538">
        <w:rPr>
          <w:rFonts w:cs="Arial"/>
          <w:color w:val="FF0000"/>
          <w:szCs w:val="20"/>
        </w:rPr>
        <w:t>Il s’agit d’une urgence vitale</w:t>
      </w:r>
    </w:p>
    <w:p w:rsidR="00D05538" w:rsidRPr="00D05538" w:rsidRDefault="00D05538" w:rsidP="006C3AC0">
      <w:pPr>
        <w:numPr>
          <w:ilvl w:val="0"/>
          <w:numId w:val="11"/>
        </w:numPr>
        <w:spacing w:after="200" w:line="276" w:lineRule="auto"/>
        <w:ind w:left="1701"/>
        <w:contextualSpacing/>
        <w:cnfStyle w:val="101000000000" w:firstRow="1" w:lastRow="0" w:firstColumn="1" w:lastColumn="0" w:oddVBand="0" w:evenVBand="0" w:oddHBand="0" w:evenHBand="0" w:firstRowFirstColumn="0" w:firstRowLastColumn="0" w:lastRowFirstColumn="0" w:lastRowLastColumn="0"/>
        <w:rPr>
          <w:rFonts w:cs="Arial"/>
          <w:b/>
          <w:color w:val="FF0000"/>
          <w:szCs w:val="20"/>
        </w:rPr>
      </w:pPr>
      <w:r w:rsidRPr="00D05538">
        <w:rPr>
          <w:rFonts w:cs="Arial"/>
          <w:color w:val="FF0000"/>
          <w:szCs w:val="20"/>
        </w:rPr>
        <w:t>Il n’y a pas d’autres alternatives thérapeutiques</w:t>
      </w:r>
    </w:p>
    <w:p w:rsidR="00D05538" w:rsidRPr="00D05538" w:rsidRDefault="00D05538" w:rsidP="006C3AC0">
      <w:pPr>
        <w:numPr>
          <w:ilvl w:val="0"/>
          <w:numId w:val="11"/>
        </w:numPr>
        <w:spacing w:after="200" w:line="276" w:lineRule="auto"/>
        <w:ind w:left="1701"/>
        <w:contextualSpacing/>
        <w:cnfStyle w:val="101000000000" w:firstRow="1" w:lastRow="0" w:firstColumn="1" w:lastColumn="0" w:oddVBand="0" w:evenVBand="0" w:oddHBand="0" w:evenHBand="0" w:firstRowFirstColumn="0" w:firstRowLastColumn="0" w:lastRowFirstColumn="0" w:lastRowLastColumn="0"/>
        <w:rPr>
          <w:rFonts w:cs="Arial"/>
          <w:b/>
          <w:color w:val="FF0000"/>
          <w:szCs w:val="20"/>
        </w:rPr>
      </w:pPr>
      <w:r w:rsidRPr="00D05538">
        <w:rPr>
          <w:rFonts w:cs="Arial"/>
          <w:color w:val="FF0000"/>
          <w:szCs w:val="20"/>
        </w:rPr>
        <w:t>Les soins sont indispensables à la survie du patient</w:t>
      </w:r>
    </w:p>
    <w:p w:rsidR="00D05538" w:rsidRPr="006C3AC0" w:rsidRDefault="00D05538" w:rsidP="006C3AC0">
      <w:pPr>
        <w:numPr>
          <w:ilvl w:val="0"/>
          <w:numId w:val="11"/>
        </w:numPr>
        <w:spacing w:after="200" w:line="276" w:lineRule="auto"/>
        <w:ind w:left="1701"/>
        <w:contextualSpacing/>
        <w:cnfStyle w:val="101000000000" w:firstRow="1" w:lastRow="0" w:firstColumn="1" w:lastColumn="0" w:oddVBand="0" w:evenVBand="0" w:oddHBand="0" w:evenHBand="0" w:firstRowFirstColumn="0" w:firstRowLastColumn="0" w:lastRowFirstColumn="0" w:lastRowLastColumn="0"/>
        <w:rPr>
          <w:rFonts w:cs="Arial"/>
          <w:b/>
          <w:color w:val="FF0000"/>
          <w:szCs w:val="20"/>
        </w:rPr>
      </w:pPr>
      <w:r w:rsidRPr="00D05538">
        <w:rPr>
          <w:rFonts w:cs="Arial"/>
          <w:color w:val="FF0000"/>
          <w:szCs w:val="20"/>
        </w:rPr>
        <w:t>Les soins sont proportionnés à l’état du patient.</w:t>
      </w:r>
    </w:p>
    <w:p w:rsidR="006C3AC0" w:rsidRPr="00D05538" w:rsidRDefault="006C3AC0" w:rsidP="006C3AC0">
      <w:pPr>
        <w:spacing w:after="200" w:line="276" w:lineRule="auto"/>
        <w:ind w:left="1701"/>
        <w:contextualSpacing/>
        <w:cnfStyle w:val="101000000000" w:firstRow="1" w:lastRow="0" w:firstColumn="1" w:lastColumn="0" w:oddVBand="0" w:evenVBand="0" w:oddHBand="0" w:evenHBand="0" w:firstRowFirstColumn="0" w:firstRowLastColumn="0" w:lastRowFirstColumn="0" w:lastRowLastColumn="0"/>
        <w:rPr>
          <w:rFonts w:cs="Arial"/>
          <w:b/>
          <w:color w:val="FF0000"/>
          <w:szCs w:val="20"/>
        </w:rPr>
      </w:pPr>
    </w:p>
    <w:p w:rsidR="00D05538" w:rsidRPr="006C3AC0" w:rsidRDefault="00D05538" w:rsidP="006C3AC0">
      <w:pPr>
        <w:numPr>
          <w:ilvl w:val="0"/>
          <w:numId w:val="13"/>
        </w:numPr>
        <w:spacing w:after="0" w:line="240" w:lineRule="auto"/>
        <w:ind w:left="142" w:hanging="284"/>
        <w:contextualSpacing/>
        <w:rPr>
          <w:i/>
        </w:rPr>
      </w:pPr>
      <w:r w:rsidRPr="00D05538">
        <w:rPr>
          <w:rFonts w:cs="Arial"/>
          <w:i/>
          <w:sz w:val="24"/>
          <w:szCs w:val="20"/>
        </w:rPr>
        <w:t>Ne pas hésiter à joindre le comité de liaison hospitalier des témoins de Jéhovah</w:t>
      </w:r>
    </w:p>
    <w:sectPr w:rsidR="00D05538" w:rsidRPr="006C3AC0"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3F" w:rsidRDefault="0029033F" w:rsidP="00CE47D1">
      <w:pPr>
        <w:spacing w:after="0" w:line="240" w:lineRule="auto"/>
      </w:pPr>
      <w:r>
        <w:separator/>
      </w:r>
    </w:p>
  </w:endnote>
  <w:endnote w:type="continuationSeparator" w:id="0">
    <w:p w:rsidR="0029033F" w:rsidRDefault="0029033F"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D05538">
      <w:rPr>
        <w:rFonts w:ascii="Arial" w:hAnsi="Arial" w:cs="Arial"/>
        <w:i/>
        <w:color w:val="000080"/>
        <w:sz w:val="12"/>
        <w:szCs w:val="16"/>
      </w:rPr>
      <w:t>CVL/ES/TRANSFUSION/TEMOIN-JEHOVAH</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3F" w:rsidRDefault="0029033F" w:rsidP="00CE47D1">
      <w:pPr>
        <w:spacing w:after="0" w:line="240" w:lineRule="auto"/>
      </w:pPr>
      <w:r>
        <w:separator/>
      </w:r>
    </w:p>
  </w:footnote>
  <w:footnote w:type="continuationSeparator" w:id="0">
    <w:p w:rsidR="0029033F" w:rsidRDefault="0029033F"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1A24F0"/>
    <w:multiLevelType w:val="hybridMultilevel"/>
    <w:tmpl w:val="A3F696FA"/>
    <w:lvl w:ilvl="0" w:tplc="5314AEE8">
      <w:start w:val="1"/>
      <w:numFmt w:val="lowerLetter"/>
      <w:lvlText w:val="%1)"/>
      <w:lvlJc w:val="left"/>
      <w:pPr>
        <w:ind w:left="3204" w:hanging="360"/>
      </w:pPr>
      <w:rPr>
        <w:rFonts w:hint="default"/>
      </w:rPr>
    </w:lvl>
    <w:lvl w:ilvl="1" w:tplc="040C0019" w:tentative="1">
      <w:start w:val="1"/>
      <w:numFmt w:val="lowerLetter"/>
      <w:lvlText w:val="%2."/>
      <w:lvlJc w:val="left"/>
      <w:pPr>
        <w:ind w:left="3924" w:hanging="360"/>
      </w:pPr>
    </w:lvl>
    <w:lvl w:ilvl="2" w:tplc="040C001B" w:tentative="1">
      <w:start w:val="1"/>
      <w:numFmt w:val="lowerRoman"/>
      <w:lvlText w:val="%3."/>
      <w:lvlJc w:val="right"/>
      <w:pPr>
        <w:ind w:left="4644" w:hanging="180"/>
      </w:pPr>
    </w:lvl>
    <w:lvl w:ilvl="3" w:tplc="040C000F" w:tentative="1">
      <w:start w:val="1"/>
      <w:numFmt w:val="decimal"/>
      <w:lvlText w:val="%4."/>
      <w:lvlJc w:val="left"/>
      <w:pPr>
        <w:ind w:left="5364" w:hanging="360"/>
      </w:pPr>
    </w:lvl>
    <w:lvl w:ilvl="4" w:tplc="040C0019" w:tentative="1">
      <w:start w:val="1"/>
      <w:numFmt w:val="lowerLetter"/>
      <w:lvlText w:val="%5."/>
      <w:lvlJc w:val="left"/>
      <w:pPr>
        <w:ind w:left="6084" w:hanging="360"/>
      </w:pPr>
    </w:lvl>
    <w:lvl w:ilvl="5" w:tplc="040C001B" w:tentative="1">
      <w:start w:val="1"/>
      <w:numFmt w:val="lowerRoman"/>
      <w:lvlText w:val="%6."/>
      <w:lvlJc w:val="right"/>
      <w:pPr>
        <w:ind w:left="6804" w:hanging="180"/>
      </w:pPr>
    </w:lvl>
    <w:lvl w:ilvl="6" w:tplc="040C000F" w:tentative="1">
      <w:start w:val="1"/>
      <w:numFmt w:val="decimal"/>
      <w:lvlText w:val="%7."/>
      <w:lvlJc w:val="left"/>
      <w:pPr>
        <w:ind w:left="7524" w:hanging="360"/>
      </w:pPr>
    </w:lvl>
    <w:lvl w:ilvl="7" w:tplc="040C0019" w:tentative="1">
      <w:start w:val="1"/>
      <w:numFmt w:val="lowerLetter"/>
      <w:lvlText w:val="%8."/>
      <w:lvlJc w:val="left"/>
      <w:pPr>
        <w:ind w:left="8244" w:hanging="360"/>
      </w:pPr>
    </w:lvl>
    <w:lvl w:ilvl="8" w:tplc="040C001B" w:tentative="1">
      <w:start w:val="1"/>
      <w:numFmt w:val="lowerRoman"/>
      <w:lvlText w:val="%9."/>
      <w:lvlJc w:val="right"/>
      <w:pPr>
        <w:ind w:left="8964" w:hanging="180"/>
      </w:pPr>
    </w:lvl>
  </w:abstractNum>
  <w:abstractNum w:abstractNumId="3"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36495F9E"/>
    <w:multiLevelType w:val="hybridMultilevel"/>
    <w:tmpl w:val="F3F0067A"/>
    <w:lvl w:ilvl="0" w:tplc="CBB0DEB8">
      <w:start w:val="2"/>
      <w:numFmt w:val="bullet"/>
      <w:lvlText w:val=""/>
      <w:lvlJc w:val="left"/>
      <w:pPr>
        <w:ind w:left="720" w:hanging="360"/>
      </w:pPr>
      <w:rPr>
        <w:rFonts w:ascii="Wingdings" w:eastAsia="Times New Roman" w:hAnsi="Wingdings" w:cs="Arial"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81C69"/>
    <w:multiLevelType w:val="hybridMultilevel"/>
    <w:tmpl w:val="5E6005CA"/>
    <w:lvl w:ilvl="0" w:tplc="A6AEE3B2">
      <w:start w:val="4"/>
      <w:numFmt w:val="bullet"/>
      <w:lvlText w:val="-"/>
      <w:lvlJc w:val="left"/>
      <w:pPr>
        <w:ind w:left="2428" w:hanging="360"/>
      </w:pPr>
      <w:rPr>
        <w:rFonts w:ascii="Calibri" w:eastAsiaTheme="minorEastAsia" w:hAnsi="Calibri" w:cstheme="minorBidi" w:hint="default"/>
      </w:rPr>
    </w:lvl>
    <w:lvl w:ilvl="1" w:tplc="040C0003" w:tentative="1">
      <w:start w:val="1"/>
      <w:numFmt w:val="bullet"/>
      <w:lvlText w:val="o"/>
      <w:lvlJc w:val="left"/>
      <w:pPr>
        <w:ind w:left="3148" w:hanging="360"/>
      </w:pPr>
      <w:rPr>
        <w:rFonts w:ascii="Courier New" w:hAnsi="Courier New" w:cs="Courier New" w:hint="default"/>
      </w:rPr>
    </w:lvl>
    <w:lvl w:ilvl="2" w:tplc="040C0005" w:tentative="1">
      <w:start w:val="1"/>
      <w:numFmt w:val="bullet"/>
      <w:lvlText w:val=""/>
      <w:lvlJc w:val="left"/>
      <w:pPr>
        <w:ind w:left="3868" w:hanging="360"/>
      </w:pPr>
      <w:rPr>
        <w:rFonts w:ascii="Wingdings" w:hAnsi="Wingdings" w:hint="default"/>
      </w:rPr>
    </w:lvl>
    <w:lvl w:ilvl="3" w:tplc="040C0001" w:tentative="1">
      <w:start w:val="1"/>
      <w:numFmt w:val="bullet"/>
      <w:lvlText w:val=""/>
      <w:lvlJc w:val="left"/>
      <w:pPr>
        <w:ind w:left="4588" w:hanging="360"/>
      </w:pPr>
      <w:rPr>
        <w:rFonts w:ascii="Symbol" w:hAnsi="Symbol" w:hint="default"/>
      </w:rPr>
    </w:lvl>
    <w:lvl w:ilvl="4" w:tplc="040C0003" w:tentative="1">
      <w:start w:val="1"/>
      <w:numFmt w:val="bullet"/>
      <w:lvlText w:val="o"/>
      <w:lvlJc w:val="left"/>
      <w:pPr>
        <w:ind w:left="5308" w:hanging="360"/>
      </w:pPr>
      <w:rPr>
        <w:rFonts w:ascii="Courier New" w:hAnsi="Courier New" w:cs="Courier New" w:hint="default"/>
      </w:rPr>
    </w:lvl>
    <w:lvl w:ilvl="5" w:tplc="040C0005" w:tentative="1">
      <w:start w:val="1"/>
      <w:numFmt w:val="bullet"/>
      <w:lvlText w:val=""/>
      <w:lvlJc w:val="left"/>
      <w:pPr>
        <w:ind w:left="6028" w:hanging="360"/>
      </w:pPr>
      <w:rPr>
        <w:rFonts w:ascii="Wingdings" w:hAnsi="Wingdings" w:hint="default"/>
      </w:rPr>
    </w:lvl>
    <w:lvl w:ilvl="6" w:tplc="040C0001" w:tentative="1">
      <w:start w:val="1"/>
      <w:numFmt w:val="bullet"/>
      <w:lvlText w:val=""/>
      <w:lvlJc w:val="left"/>
      <w:pPr>
        <w:ind w:left="6748" w:hanging="360"/>
      </w:pPr>
      <w:rPr>
        <w:rFonts w:ascii="Symbol" w:hAnsi="Symbol" w:hint="default"/>
      </w:rPr>
    </w:lvl>
    <w:lvl w:ilvl="7" w:tplc="040C0003" w:tentative="1">
      <w:start w:val="1"/>
      <w:numFmt w:val="bullet"/>
      <w:lvlText w:val="o"/>
      <w:lvlJc w:val="left"/>
      <w:pPr>
        <w:ind w:left="7468" w:hanging="360"/>
      </w:pPr>
      <w:rPr>
        <w:rFonts w:ascii="Courier New" w:hAnsi="Courier New" w:cs="Courier New" w:hint="default"/>
      </w:rPr>
    </w:lvl>
    <w:lvl w:ilvl="8" w:tplc="040C0005" w:tentative="1">
      <w:start w:val="1"/>
      <w:numFmt w:val="bullet"/>
      <w:lvlText w:val=""/>
      <w:lvlJc w:val="left"/>
      <w:pPr>
        <w:ind w:left="8188" w:hanging="360"/>
      </w:pPr>
      <w:rPr>
        <w:rFonts w:ascii="Wingdings" w:hAnsi="Wingdings" w:hint="default"/>
      </w:rPr>
    </w:lvl>
  </w:abstractNum>
  <w:abstractNum w:abstractNumId="7" w15:restartNumberingAfterBreak="0">
    <w:nsid w:val="47A7274C"/>
    <w:multiLevelType w:val="hybridMultilevel"/>
    <w:tmpl w:val="82A091A0"/>
    <w:lvl w:ilvl="0" w:tplc="356A7AF2">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860B52"/>
    <w:multiLevelType w:val="hybridMultilevel"/>
    <w:tmpl w:val="72DAA052"/>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9"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0"/>
  </w:num>
  <w:num w:numId="5">
    <w:abstractNumId w:val="12"/>
  </w:num>
  <w:num w:numId="6">
    <w:abstractNumId w:val="1"/>
  </w:num>
  <w:num w:numId="7">
    <w:abstractNumId w:val="5"/>
  </w:num>
  <w:num w:numId="8">
    <w:abstractNumId w:val="3"/>
  </w:num>
  <w:num w:numId="9">
    <w:abstractNumId w:val="11"/>
  </w:num>
  <w:num w:numId="10">
    <w:abstractNumId w:val="7"/>
  </w:num>
  <w:num w:numId="11">
    <w:abstractNumId w:val="6"/>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14394F"/>
    <w:rsid w:val="00186CD5"/>
    <w:rsid w:val="001F6AB9"/>
    <w:rsid w:val="0025104A"/>
    <w:rsid w:val="00273F0A"/>
    <w:rsid w:val="0029033F"/>
    <w:rsid w:val="002A07E7"/>
    <w:rsid w:val="0033287C"/>
    <w:rsid w:val="0034566B"/>
    <w:rsid w:val="00470594"/>
    <w:rsid w:val="00526625"/>
    <w:rsid w:val="00554F14"/>
    <w:rsid w:val="005B050B"/>
    <w:rsid w:val="0061450D"/>
    <w:rsid w:val="006754D0"/>
    <w:rsid w:val="006C3AC0"/>
    <w:rsid w:val="00734F1B"/>
    <w:rsid w:val="007C1278"/>
    <w:rsid w:val="008F0DC7"/>
    <w:rsid w:val="00936547"/>
    <w:rsid w:val="009E7C8D"/>
    <w:rsid w:val="00A80F10"/>
    <w:rsid w:val="00B432ED"/>
    <w:rsid w:val="00B7265B"/>
    <w:rsid w:val="00BC63D7"/>
    <w:rsid w:val="00C331EA"/>
    <w:rsid w:val="00C80EFE"/>
    <w:rsid w:val="00CE47D1"/>
    <w:rsid w:val="00D05538"/>
    <w:rsid w:val="00D34273"/>
    <w:rsid w:val="00D806C2"/>
    <w:rsid w:val="00DC36D8"/>
    <w:rsid w:val="00E01806"/>
    <w:rsid w:val="00E2356D"/>
    <w:rsid w:val="00E365BE"/>
    <w:rsid w:val="00E71160"/>
    <w:rsid w:val="00E77183"/>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15E83"/>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969</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21</cp:revision>
  <dcterms:created xsi:type="dcterms:W3CDTF">2020-10-16T12:52:00Z</dcterms:created>
  <dcterms:modified xsi:type="dcterms:W3CDTF">2020-12-14T14:25:00Z</dcterms:modified>
</cp:coreProperties>
</file>