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995E" w14:textId="77777777" w:rsidR="00C15853" w:rsidRDefault="00920A0F">
      <w:pPr>
        <w:pStyle w:val="Corpsdetexte"/>
        <w:ind w:left="23" w:right="-44"/>
        <w:jc w:val="left"/>
        <w:rPr>
          <w:rFonts w:ascii="Times New Roman"/>
          <w:sz w:val="20"/>
        </w:rPr>
      </w:pPr>
      <w:r>
        <w:rPr>
          <w:rFonts w:ascii="Times New Roman"/>
          <w:noProof/>
          <w:sz w:val="20"/>
        </w:rPr>
        <mc:AlternateContent>
          <mc:Choice Requires="wps">
            <w:drawing>
              <wp:inline distT="0" distB="0" distL="0" distR="0" wp14:anchorId="0D5D5122" wp14:editId="1F1384E4">
                <wp:extent cx="5713730" cy="1600200"/>
                <wp:effectExtent l="0" t="0" r="20320" b="190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1600200"/>
                        </a:xfrm>
                        <a:prstGeom prst="rect">
                          <a:avLst/>
                        </a:prstGeom>
                        <a:solidFill>
                          <a:srgbClr val="FABF8F"/>
                        </a:solidFill>
                        <a:ln w="6095">
                          <a:solidFill>
                            <a:srgbClr val="000000"/>
                          </a:solidFill>
                          <a:prstDash val="solid"/>
                        </a:ln>
                      </wps:spPr>
                      <wps:txbx>
                        <w:txbxContent>
                          <w:p w14:paraId="0341FE03" w14:textId="77777777" w:rsidR="00EF4A04" w:rsidRDefault="00EF4A04">
                            <w:pPr>
                              <w:ind w:left="247" w:right="246" w:firstLine="2"/>
                              <w:jc w:val="center"/>
                              <w:rPr>
                                <w:rFonts w:ascii="Arial"/>
                                <w:b/>
                                <w:color w:val="000000"/>
                                <w:sz w:val="28"/>
                              </w:rPr>
                            </w:pPr>
                          </w:p>
                          <w:p w14:paraId="205C1DDD" w14:textId="0427BB1D" w:rsidR="00C15853" w:rsidRDefault="00EF4A04">
                            <w:pPr>
                              <w:ind w:left="247" w:right="246" w:firstLine="2"/>
                              <w:jc w:val="center"/>
                              <w:rPr>
                                <w:rFonts w:ascii="Arial" w:hAnsi="Arial"/>
                                <w:b/>
                                <w:color w:val="000000"/>
                                <w:sz w:val="28"/>
                              </w:rPr>
                            </w:pPr>
                            <w:r w:rsidRPr="00EF4A04">
                              <w:rPr>
                                <w:rFonts w:ascii="Arial"/>
                                <w:b/>
                                <w:color w:val="000000"/>
                                <w:sz w:val="28"/>
                              </w:rPr>
                              <w:t xml:space="preserve">Cahier des charges relatif </w:t>
                            </w:r>
                            <w:r w:rsidRPr="00EF4A04">
                              <w:rPr>
                                <w:rFonts w:ascii="Arial"/>
                                <w:b/>
                                <w:color w:val="000000"/>
                                <w:sz w:val="28"/>
                              </w:rPr>
                              <w:t>à</w:t>
                            </w:r>
                            <w:r w:rsidRPr="00EF4A04">
                              <w:rPr>
                                <w:rFonts w:ascii="Arial"/>
                                <w:b/>
                                <w:color w:val="000000"/>
                                <w:sz w:val="28"/>
                              </w:rPr>
                              <w:t xml:space="preserve"> l</w:t>
                            </w:r>
                            <w:r w:rsidRPr="00EF4A04">
                              <w:rPr>
                                <w:rFonts w:ascii="Arial"/>
                                <w:b/>
                                <w:color w:val="000000"/>
                                <w:sz w:val="28"/>
                              </w:rPr>
                              <w:t>’</w:t>
                            </w:r>
                            <w:r w:rsidRPr="00EF4A04">
                              <w:rPr>
                                <w:rFonts w:ascii="Arial"/>
                                <w:b/>
                                <w:color w:val="000000"/>
                                <w:sz w:val="28"/>
                              </w:rPr>
                              <w:t>utilisation des tests rapides d</w:t>
                            </w:r>
                            <w:r w:rsidRPr="00EF4A04">
                              <w:rPr>
                                <w:rFonts w:ascii="Arial"/>
                                <w:b/>
                                <w:color w:val="000000"/>
                                <w:sz w:val="28"/>
                              </w:rPr>
                              <w:t>’</w:t>
                            </w:r>
                            <w:r w:rsidRPr="00EF4A04">
                              <w:rPr>
                                <w:rFonts w:ascii="Arial"/>
                                <w:b/>
                                <w:color w:val="000000"/>
                                <w:sz w:val="28"/>
                              </w:rPr>
                              <w:t>orientation diagnostique de l</w:t>
                            </w:r>
                            <w:r w:rsidRPr="00EF4A04">
                              <w:rPr>
                                <w:rFonts w:ascii="Arial"/>
                                <w:b/>
                                <w:color w:val="000000"/>
                                <w:sz w:val="28"/>
                              </w:rPr>
                              <w:t>’</w:t>
                            </w:r>
                            <w:r w:rsidRPr="00EF4A04">
                              <w:rPr>
                                <w:rFonts w:ascii="Arial"/>
                                <w:b/>
                                <w:color w:val="000000"/>
                                <w:sz w:val="28"/>
                              </w:rPr>
                              <w:t>infection par les virus de l</w:t>
                            </w:r>
                            <w:r w:rsidRPr="00EF4A04">
                              <w:rPr>
                                <w:rFonts w:ascii="Arial"/>
                                <w:b/>
                                <w:color w:val="000000"/>
                                <w:sz w:val="28"/>
                              </w:rPr>
                              <w:t>’</w:t>
                            </w:r>
                            <w:r w:rsidRPr="00EF4A04">
                              <w:rPr>
                                <w:rFonts w:ascii="Arial"/>
                                <w:b/>
                                <w:color w:val="000000"/>
                                <w:sz w:val="28"/>
                              </w:rPr>
                              <w:t>immunod</w:t>
                            </w:r>
                            <w:r w:rsidRPr="00EF4A04">
                              <w:rPr>
                                <w:rFonts w:ascii="Arial"/>
                                <w:b/>
                                <w:color w:val="000000"/>
                                <w:sz w:val="28"/>
                              </w:rPr>
                              <w:t>é</w:t>
                            </w:r>
                            <w:r w:rsidRPr="00EF4A04">
                              <w:rPr>
                                <w:rFonts w:ascii="Arial"/>
                                <w:b/>
                                <w:color w:val="000000"/>
                                <w:sz w:val="28"/>
                              </w:rPr>
                              <w:t>ficience humaine (</w:t>
                            </w:r>
                            <w:r>
                              <w:rPr>
                                <w:rFonts w:ascii="Arial"/>
                                <w:b/>
                                <w:color w:val="000000"/>
                                <w:sz w:val="28"/>
                              </w:rPr>
                              <w:t>VIH</w:t>
                            </w:r>
                            <w:r w:rsidRPr="00EF4A04">
                              <w:rPr>
                                <w:rFonts w:ascii="Arial"/>
                                <w:b/>
                                <w:color w:val="000000"/>
                                <w:sz w:val="28"/>
                              </w:rPr>
                              <w:t xml:space="preserve"> 1 et 2), par le virus de l</w:t>
                            </w:r>
                            <w:r w:rsidRPr="00EF4A04">
                              <w:rPr>
                                <w:rFonts w:ascii="Arial"/>
                                <w:b/>
                                <w:color w:val="000000"/>
                                <w:sz w:val="28"/>
                              </w:rPr>
                              <w:t>’</w:t>
                            </w:r>
                            <w:r w:rsidRPr="00EF4A04">
                              <w:rPr>
                                <w:rFonts w:ascii="Arial"/>
                                <w:b/>
                                <w:color w:val="000000"/>
                                <w:sz w:val="28"/>
                              </w:rPr>
                              <w:t>h</w:t>
                            </w:r>
                            <w:r w:rsidRPr="00EF4A04">
                              <w:rPr>
                                <w:rFonts w:ascii="Arial"/>
                                <w:b/>
                                <w:color w:val="000000"/>
                                <w:sz w:val="28"/>
                              </w:rPr>
                              <w:t>é</w:t>
                            </w:r>
                            <w:r w:rsidRPr="00EF4A04">
                              <w:rPr>
                                <w:rFonts w:ascii="Arial"/>
                                <w:b/>
                                <w:color w:val="000000"/>
                                <w:sz w:val="28"/>
                              </w:rPr>
                              <w:t xml:space="preserve">patite </w:t>
                            </w:r>
                            <w:r>
                              <w:rPr>
                                <w:rFonts w:ascii="Arial"/>
                                <w:b/>
                                <w:color w:val="000000"/>
                                <w:sz w:val="28"/>
                              </w:rPr>
                              <w:t>C</w:t>
                            </w:r>
                            <w:r w:rsidRPr="00EF4A04">
                              <w:rPr>
                                <w:rFonts w:ascii="Arial"/>
                                <w:b/>
                                <w:color w:val="000000"/>
                                <w:sz w:val="28"/>
                              </w:rPr>
                              <w:t xml:space="preserve"> (</w:t>
                            </w:r>
                            <w:r>
                              <w:rPr>
                                <w:rFonts w:ascii="Arial"/>
                                <w:b/>
                                <w:color w:val="000000"/>
                                <w:sz w:val="28"/>
                              </w:rPr>
                              <w:t>VHC</w:t>
                            </w:r>
                            <w:r w:rsidRPr="00EF4A04">
                              <w:rPr>
                                <w:rFonts w:ascii="Arial"/>
                                <w:b/>
                                <w:color w:val="000000"/>
                                <w:sz w:val="28"/>
                              </w:rPr>
                              <w:t>) ou par le virus de l</w:t>
                            </w:r>
                            <w:r w:rsidRPr="00EF4A04">
                              <w:rPr>
                                <w:rFonts w:ascii="Arial"/>
                                <w:b/>
                                <w:color w:val="000000"/>
                                <w:sz w:val="28"/>
                              </w:rPr>
                              <w:t>’</w:t>
                            </w:r>
                            <w:r w:rsidRPr="00EF4A04">
                              <w:rPr>
                                <w:rFonts w:ascii="Arial"/>
                                <w:b/>
                                <w:color w:val="000000"/>
                                <w:sz w:val="28"/>
                              </w:rPr>
                              <w:t>h</w:t>
                            </w:r>
                            <w:r w:rsidRPr="00EF4A04">
                              <w:rPr>
                                <w:rFonts w:ascii="Arial"/>
                                <w:b/>
                                <w:color w:val="000000"/>
                                <w:sz w:val="28"/>
                              </w:rPr>
                              <w:t>é</w:t>
                            </w:r>
                            <w:r w:rsidRPr="00EF4A04">
                              <w:rPr>
                                <w:rFonts w:ascii="Arial"/>
                                <w:b/>
                                <w:color w:val="000000"/>
                                <w:sz w:val="28"/>
                              </w:rPr>
                              <w:t xml:space="preserve">patite </w:t>
                            </w:r>
                            <w:r>
                              <w:rPr>
                                <w:rFonts w:ascii="Arial"/>
                                <w:b/>
                                <w:color w:val="000000"/>
                                <w:sz w:val="28"/>
                              </w:rPr>
                              <w:t>B</w:t>
                            </w:r>
                            <w:r w:rsidRPr="00EF4A04">
                              <w:rPr>
                                <w:rFonts w:ascii="Arial"/>
                                <w:b/>
                                <w:color w:val="000000"/>
                                <w:sz w:val="28"/>
                              </w:rPr>
                              <w:t xml:space="preserve"> (</w:t>
                            </w:r>
                            <w:r>
                              <w:rPr>
                                <w:rFonts w:ascii="Arial"/>
                                <w:b/>
                                <w:color w:val="000000"/>
                                <w:sz w:val="28"/>
                              </w:rPr>
                              <w:t>VHB</w:t>
                            </w:r>
                            <w:r w:rsidRPr="00EF4A04">
                              <w:rPr>
                                <w:rFonts w:ascii="Arial"/>
                                <w:b/>
                                <w:color w:val="000000"/>
                                <w:sz w:val="28"/>
                              </w:rPr>
                              <w:t>) ou de la bact</w:t>
                            </w:r>
                            <w:r w:rsidRPr="00EF4A04">
                              <w:rPr>
                                <w:rFonts w:ascii="Arial"/>
                                <w:b/>
                                <w:color w:val="000000"/>
                                <w:sz w:val="28"/>
                              </w:rPr>
                              <w:t>é</w:t>
                            </w:r>
                            <w:r w:rsidRPr="00EF4A04">
                              <w:rPr>
                                <w:rFonts w:ascii="Arial"/>
                                <w:b/>
                                <w:color w:val="000000"/>
                                <w:sz w:val="28"/>
                              </w:rPr>
                              <w:t xml:space="preserve">rie </w:t>
                            </w:r>
                            <w:proofErr w:type="spellStart"/>
                            <w:r w:rsidRPr="00EF4A04">
                              <w:rPr>
                                <w:rFonts w:ascii="Arial"/>
                                <w:b/>
                                <w:i/>
                                <w:iCs/>
                                <w:color w:val="000000"/>
                                <w:sz w:val="28"/>
                              </w:rPr>
                              <w:t>treponema</w:t>
                            </w:r>
                            <w:proofErr w:type="spellEnd"/>
                            <w:r w:rsidRPr="00EF4A04">
                              <w:rPr>
                                <w:rFonts w:ascii="Arial"/>
                                <w:b/>
                                <w:i/>
                                <w:iCs/>
                                <w:color w:val="000000"/>
                                <w:sz w:val="28"/>
                              </w:rPr>
                              <w:t xml:space="preserve"> pallidum </w:t>
                            </w:r>
                            <w:r w:rsidRPr="00EF4A04">
                              <w:rPr>
                                <w:rFonts w:ascii="Arial"/>
                                <w:b/>
                                <w:color w:val="000000"/>
                                <w:sz w:val="28"/>
                              </w:rPr>
                              <w:t>(syphilis), en milieu m</w:t>
                            </w:r>
                            <w:r w:rsidRPr="00EF4A04">
                              <w:rPr>
                                <w:rFonts w:ascii="Arial"/>
                                <w:b/>
                                <w:color w:val="000000"/>
                                <w:sz w:val="28"/>
                              </w:rPr>
                              <w:t>é</w:t>
                            </w:r>
                            <w:r w:rsidRPr="00EF4A04">
                              <w:rPr>
                                <w:rFonts w:ascii="Arial"/>
                                <w:b/>
                                <w:color w:val="000000"/>
                                <w:sz w:val="28"/>
                              </w:rPr>
                              <w:t xml:space="preserve">dico-social ou associatif et autres centres et </w:t>
                            </w:r>
                            <w:r w:rsidRPr="00EF4A04">
                              <w:rPr>
                                <w:rFonts w:ascii="Arial"/>
                                <w:b/>
                                <w:color w:val="000000"/>
                                <w:sz w:val="28"/>
                              </w:rPr>
                              <w:t>é</w:t>
                            </w:r>
                            <w:r w:rsidRPr="00EF4A04">
                              <w:rPr>
                                <w:rFonts w:ascii="Arial"/>
                                <w:b/>
                                <w:color w:val="000000"/>
                                <w:sz w:val="28"/>
                              </w:rPr>
                              <w:t>tablissements autoris</w:t>
                            </w:r>
                            <w:r w:rsidRPr="00EF4A04">
                              <w:rPr>
                                <w:rFonts w:ascii="Arial"/>
                                <w:b/>
                                <w:color w:val="000000"/>
                                <w:sz w:val="28"/>
                              </w:rPr>
                              <w:t>é</w:t>
                            </w:r>
                            <w:r w:rsidRPr="00EF4A04">
                              <w:rPr>
                                <w:rFonts w:ascii="Arial"/>
                                <w:b/>
                                <w:color w:val="000000"/>
                                <w:sz w:val="28"/>
                              </w:rPr>
                              <w:t>s</w:t>
                            </w:r>
                          </w:p>
                        </w:txbxContent>
                      </wps:txbx>
                      <wps:bodyPr wrap="square" lIns="0" tIns="0" rIns="0" bIns="0" rtlCol="0">
                        <a:noAutofit/>
                      </wps:bodyPr>
                    </wps:wsp>
                  </a:graphicData>
                </a:graphic>
              </wp:inline>
            </w:drawing>
          </mc:Choice>
          <mc:Fallback>
            <w:pict>
              <v:shapetype w14:anchorId="0D5D5122" id="_x0000_t202" coordsize="21600,21600" o:spt="202" path="m,l,21600r21600,l21600,xe">
                <v:stroke joinstyle="miter"/>
                <v:path gradientshapeok="t" o:connecttype="rect"/>
              </v:shapetype>
              <v:shape id="Textbox 2" o:spid="_x0000_s1026" type="#_x0000_t202" style="width:449.9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" fillcolor="#fabf8f" strokeweight=".16931mm">
                <v:path arrowok="t"/>
                <v:textbox inset="0,0,0,0">
                  <w:txbxContent>
                    <w:p w14:paraId="0341FE03" w14:textId="77777777" w:rsidR="00EF4A04" w:rsidRDefault="00EF4A04">
                      <w:pPr>
                        <w:ind w:left="247" w:right="246" w:firstLine="2"/>
                        <w:jc w:val="center"/>
                        <w:rPr>
                          <w:rFonts w:ascii="Arial"/>
                          <w:b/>
                          <w:color w:val="000000"/>
                          <w:sz w:val="28"/>
                        </w:rPr>
                      </w:pPr>
                    </w:p>
                    <w:p w14:paraId="205C1DDD" w14:textId="0427BB1D" w:rsidR="00C15853" w:rsidRDefault="00EF4A04">
                      <w:pPr>
                        <w:ind w:left="247" w:right="246" w:firstLine="2"/>
                        <w:jc w:val="center"/>
                        <w:rPr>
                          <w:rFonts w:ascii="Arial" w:hAnsi="Arial"/>
                          <w:b/>
                          <w:color w:val="000000"/>
                          <w:sz w:val="28"/>
                        </w:rPr>
                      </w:pPr>
                      <w:r w:rsidRPr="00EF4A04">
                        <w:rPr>
                          <w:rFonts w:ascii="Arial"/>
                          <w:b/>
                          <w:color w:val="000000"/>
                          <w:sz w:val="28"/>
                        </w:rPr>
                        <w:t xml:space="preserve">Cahier des charges relatif </w:t>
                      </w:r>
                      <w:r w:rsidRPr="00EF4A04">
                        <w:rPr>
                          <w:rFonts w:ascii="Arial"/>
                          <w:b/>
                          <w:color w:val="000000"/>
                          <w:sz w:val="28"/>
                        </w:rPr>
                        <w:t>à</w:t>
                      </w:r>
                      <w:r w:rsidRPr="00EF4A04">
                        <w:rPr>
                          <w:rFonts w:ascii="Arial"/>
                          <w:b/>
                          <w:color w:val="000000"/>
                          <w:sz w:val="28"/>
                        </w:rPr>
                        <w:t xml:space="preserve"> l</w:t>
                      </w:r>
                      <w:r w:rsidRPr="00EF4A04">
                        <w:rPr>
                          <w:rFonts w:ascii="Arial"/>
                          <w:b/>
                          <w:color w:val="000000"/>
                          <w:sz w:val="28"/>
                        </w:rPr>
                        <w:t>’</w:t>
                      </w:r>
                      <w:r w:rsidRPr="00EF4A04">
                        <w:rPr>
                          <w:rFonts w:ascii="Arial"/>
                          <w:b/>
                          <w:color w:val="000000"/>
                          <w:sz w:val="28"/>
                        </w:rPr>
                        <w:t>utilisation des tests rapides d</w:t>
                      </w:r>
                      <w:r w:rsidRPr="00EF4A04">
                        <w:rPr>
                          <w:rFonts w:ascii="Arial"/>
                          <w:b/>
                          <w:color w:val="000000"/>
                          <w:sz w:val="28"/>
                        </w:rPr>
                        <w:t>’</w:t>
                      </w:r>
                      <w:r w:rsidRPr="00EF4A04">
                        <w:rPr>
                          <w:rFonts w:ascii="Arial"/>
                          <w:b/>
                          <w:color w:val="000000"/>
                          <w:sz w:val="28"/>
                        </w:rPr>
                        <w:t>orientation diagnostique de l</w:t>
                      </w:r>
                      <w:r w:rsidRPr="00EF4A04">
                        <w:rPr>
                          <w:rFonts w:ascii="Arial"/>
                          <w:b/>
                          <w:color w:val="000000"/>
                          <w:sz w:val="28"/>
                        </w:rPr>
                        <w:t>’</w:t>
                      </w:r>
                      <w:r w:rsidRPr="00EF4A04">
                        <w:rPr>
                          <w:rFonts w:ascii="Arial"/>
                          <w:b/>
                          <w:color w:val="000000"/>
                          <w:sz w:val="28"/>
                        </w:rPr>
                        <w:t>infection par les virus de l</w:t>
                      </w:r>
                      <w:r w:rsidRPr="00EF4A04">
                        <w:rPr>
                          <w:rFonts w:ascii="Arial"/>
                          <w:b/>
                          <w:color w:val="000000"/>
                          <w:sz w:val="28"/>
                        </w:rPr>
                        <w:t>’</w:t>
                      </w:r>
                      <w:r w:rsidRPr="00EF4A04">
                        <w:rPr>
                          <w:rFonts w:ascii="Arial"/>
                          <w:b/>
                          <w:color w:val="000000"/>
                          <w:sz w:val="28"/>
                        </w:rPr>
                        <w:t>immunod</w:t>
                      </w:r>
                      <w:r w:rsidRPr="00EF4A04">
                        <w:rPr>
                          <w:rFonts w:ascii="Arial"/>
                          <w:b/>
                          <w:color w:val="000000"/>
                          <w:sz w:val="28"/>
                        </w:rPr>
                        <w:t>é</w:t>
                      </w:r>
                      <w:r w:rsidRPr="00EF4A04">
                        <w:rPr>
                          <w:rFonts w:ascii="Arial"/>
                          <w:b/>
                          <w:color w:val="000000"/>
                          <w:sz w:val="28"/>
                        </w:rPr>
                        <w:t>ficience humaine (</w:t>
                      </w:r>
                      <w:r>
                        <w:rPr>
                          <w:rFonts w:ascii="Arial"/>
                          <w:b/>
                          <w:color w:val="000000"/>
                          <w:sz w:val="28"/>
                        </w:rPr>
                        <w:t>VIH</w:t>
                      </w:r>
                      <w:r w:rsidRPr="00EF4A04">
                        <w:rPr>
                          <w:rFonts w:ascii="Arial"/>
                          <w:b/>
                          <w:color w:val="000000"/>
                          <w:sz w:val="28"/>
                        </w:rPr>
                        <w:t xml:space="preserve"> 1 et 2), par le virus de l</w:t>
                      </w:r>
                      <w:r w:rsidRPr="00EF4A04">
                        <w:rPr>
                          <w:rFonts w:ascii="Arial"/>
                          <w:b/>
                          <w:color w:val="000000"/>
                          <w:sz w:val="28"/>
                        </w:rPr>
                        <w:t>’</w:t>
                      </w:r>
                      <w:r w:rsidRPr="00EF4A04">
                        <w:rPr>
                          <w:rFonts w:ascii="Arial"/>
                          <w:b/>
                          <w:color w:val="000000"/>
                          <w:sz w:val="28"/>
                        </w:rPr>
                        <w:t>h</w:t>
                      </w:r>
                      <w:r w:rsidRPr="00EF4A04">
                        <w:rPr>
                          <w:rFonts w:ascii="Arial"/>
                          <w:b/>
                          <w:color w:val="000000"/>
                          <w:sz w:val="28"/>
                        </w:rPr>
                        <w:t>é</w:t>
                      </w:r>
                      <w:r w:rsidRPr="00EF4A04">
                        <w:rPr>
                          <w:rFonts w:ascii="Arial"/>
                          <w:b/>
                          <w:color w:val="000000"/>
                          <w:sz w:val="28"/>
                        </w:rPr>
                        <w:t xml:space="preserve">patite </w:t>
                      </w:r>
                      <w:r>
                        <w:rPr>
                          <w:rFonts w:ascii="Arial"/>
                          <w:b/>
                          <w:color w:val="000000"/>
                          <w:sz w:val="28"/>
                        </w:rPr>
                        <w:t>C</w:t>
                      </w:r>
                      <w:r w:rsidRPr="00EF4A04">
                        <w:rPr>
                          <w:rFonts w:ascii="Arial"/>
                          <w:b/>
                          <w:color w:val="000000"/>
                          <w:sz w:val="28"/>
                        </w:rPr>
                        <w:t xml:space="preserve"> (</w:t>
                      </w:r>
                      <w:r>
                        <w:rPr>
                          <w:rFonts w:ascii="Arial"/>
                          <w:b/>
                          <w:color w:val="000000"/>
                          <w:sz w:val="28"/>
                        </w:rPr>
                        <w:t>VHC</w:t>
                      </w:r>
                      <w:r w:rsidRPr="00EF4A04">
                        <w:rPr>
                          <w:rFonts w:ascii="Arial"/>
                          <w:b/>
                          <w:color w:val="000000"/>
                          <w:sz w:val="28"/>
                        </w:rPr>
                        <w:t>) ou par le virus de l</w:t>
                      </w:r>
                      <w:r w:rsidRPr="00EF4A04">
                        <w:rPr>
                          <w:rFonts w:ascii="Arial"/>
                          <w:b/>
                          <w:color w:val="000000"/>
                          <w:sz w:val="28"/>
                        </w:rPr>
                        <w:t>’</w:t>
                      </w:r>
                      <w:r w:rsidRPr="00EF4A04">
                        <w:rPr>
                          <w:rFonts w:ascii="Arial"/>
                          <w:b/>
                          <w:color w:val="000000"/>
                          <w:sz w:val="28"/>
                        </w:rPr>
                        <w:t>h</w:t>
                      </w:r>
                      <w:r w:rsidRPr="00EF4A04">
                        <w:rPr>
                          <w:rFonts w:ascii="Arial"/>
                          <w:b/>
                          <w:color w:val="000000"/>
                          <w:sz w:val="28"/>
                        </w:rPr>
                        <w:t>é</w:t>
                      </w:r>
                      <w:r w:rsidRPr="00EF4A04">
                        <w:rPr>
                          <w:rFonts w:ascii="Arial"/>
                          <w:b/>
                          <w:color w:val="000000"/>
                          <w:sz w:val="28"/>
                        </w:rPr>
                        <w:t xml:space="preserve">patite </w:t>
                      </w:r>
                      <w:r>
                        <w:rPr>
                          <w:rFonts w:ascii="Arial"/>
                          <w:b/>
                          <w:color w:val="000000"/>
                          <w:sz w:val="28"/>
                        </w:rPr>
                        <w:t>B</w:t>
                      </w:r>
                      <w:r w:rsidRPr="00EF4A04">
                        <w:rPr>
                          <w:rFonts w:ascii="Arial"/>
                          <w:b/>
                          <w:color w:val="000000"/>
                          <w:sz w:val="28"/>
                        </w:rPr>
                        <w:t xml:space="preserve"> (</w:t>
                      </w:r>
                      <w:r>
                        <w:rPr>
                          <w:rFonts w:ascii="Arial"/>
                          <w:b/>
                          <w:color w:val="000000"/>
                          <w:sz w:val="28"/>
                        </w:rPr>
                        <w:t>VHB</w:t>
                      </w:r>
                      <w:r w:rsidRPr="00EF4A04">
                        <w:rPr>
                          <w:rFonts w:ascii="Arial"/>
                          <w:b/>
                          <w:color w:val="000000"/>
                          <w:sz w:val="28"/>
                        </w:rPr>
                        <w:t>) ou de la bact</w:t>
                      </w:r>
                      <w:r w:rsidRPr="00EF4A04">
                        <w:rPr>
                          <w:rFonts w:ascii="Arial"/>
                          <w:b/>
                          <w:color w:val="000000"/>
                          <w:sz w:val="28"/>
                        </w:rPr>
                        <w:t>é</w:t>
                      </w:r>
                      <w:r w:rsidRPr="00EF4A04">
                        <w:rPr>
                          <w:rFonts w:ascii="Arial"/>
                          <w:b/>
                          <w:color w:val="000000"/>
                          <w:sz w:val="28"/>
                        </w:rPr>
                        <w:t xml:space="preserve">rie </w:t>
                      </w:r>
                      <w:proofErr w:type="spellStart"/>
                      <w:r w:rsidRPr="00EF4A04">
                        <w:rPr>
                          <w:rFonts w:ascii="Arial"/>
                          <w:b/>
                          <w:i/>
                          <w:iCs/>
                          <w:color w:val="000000"/>
                          <w:sz w:val="28"/>
                        </w:rPr>
                        <w:t>treponema</w:t>
                      </w:r>
                      <w:proofErr w:type="spellEnd"/>
                      <w:r w:rsidRPr="00EF4A04">
                        <w:rPr>
                          <w:rFonts w:ascii="Arial"/>
                          <w:b/>
                          <w:i/>
                          <w:iCs/>
                          <w:color w:val="000000"/>
                          <w:sz w:val="28"/>
                        </w:rPr>
                        <w:t xml:space="preserve"> pallidum </w:t>
                      </w:r>
                      <w:r w:rsidRPr="00EF4A04">
                        <w:rPr>
                          <w:rFonts w:ascii="Arial"/>
                          <w:b/>
                          <w:color w:val="000000"/>
                          <w:sz w:val="28"/>
                        </w:rPr>
                        <w:t>(syphilis), en milieu m</w:t>
                      </w:r>
                      <w:r w:rsidRPr="00EF4A04">
                        <w:rPr>
                          <w:rFonts w:ascii="Arial"/>
                          <w:b/>
                          <w:color w:val="000000"/>
                          <w:sz w:val="28"/>
                        </w:rPr>
                        <w:t>é</w:t>
                      </w:r>
                      <w:r w:rsidRPr="00EF4A04">
                        <w:rPr>
                          <w:rFonts w:ascii="Arial"/>
                          <w:b/>
                          <w:color w:val="000000"/>
                          <w:sz w:val="28"/>
                        </w:rPr>
                        <w:t xml:space="preserve">dico-social ou associatif et autres centres et </w:t>
                      </w:r>
                      <w:r w:rsidRPr="00EF4A04">
                        <w:rPr>
                          <w:rFonts w:ascii="Arial"/>
                          <w:b/>
                          <w:color w:val="000000"/>
                          <w:sz w:val="28"/>
                        </w:rPr>
                        <w:t>é</w:t>
                      </w:r>
                      <w:r w:rsidRPr="00EF4A04">
                        <w:rPr>
                          <w:rFonts w:ascii="Arial"/>
                          <w:b/>
                          <w:color w:val="000000"/>
                          <w:sz w:val="28"/>
                        </w:rPr>
                        <w:t>tablissements autoris</w:t>
                      </w:r>
                      <w:r w:rsidRPr="00EF4A04">
                        <w:rPr>
                          <w:rFonts w:ascii="Arial"/>
                          <w:b/>
                          <w:color w:val="000000"/>
                          <w:sz w:val="28"/>
                        </w:rPr>
                        <w:t>é</w:t>
                      </w:r>
                      <w:r w:rsidRPr="00EF4A04">
                        <w:rPr>
                          <w:rFonts w:ascii="Arial"/>
                          <w:b/>
                          <w:color w:val="000000"/>
                          <w:sz w:val="28"/>
                        </w:rPr>
                        <w:t>s</w:t>
                      </w:r>
                    </w:p>
                  </w:txbxContent>
                </v:textbox>
                <w10:anchorlock/>
              </v:shape>
            </w:pict>
          </mc:Fallback>
        </mc:AlternateContent>
      </w:r>
    </w:p>
    <w:p w14:paraId="53B078EC" w14:textId="77777777" w:rsidR="00C15853" w:rsidRDefault="00C15853">
      <w:pPr>
        <w:pStyle w:val="Corpsdetexte"/>
        <w:ind w:left="0"/>
        <w:jc w:val="left"/>
        <w:rPr>
          <w:rFonts w:ascii="Times New Roman"/>
          <w:sz w:val="24"/>
        </w:rPr>
      </w:pPr>
    </w:p>
    <w:p w14:paraId="341BE468" w14:textId="77777777" w:rsidR="00C15853" w:rsidRDefault="00C15853">
      <w:pPr>
        <w:pStyle w:val="Corpsdetexte"/>
        <w:spacing w:before="175"/>
        <w:ind w:left="0"/>
        <w:jc w:val="left"/>
        <w:rPr>
          <w:rFonts w:ascii="Times New Roman"/>
          <w:sz w:val="24"/>
        </w:rPr>
      </w:pPr>
    </w:p>
    <w:p w14:paraId="2D162820" w14:textId="7BA61190" w:rsidR="00C15853" w:rsidRDefault="00920A0F" w:rsidP="00EF4A04">
      <w:pPr>
        <w:ind w:left="222" w:right="219" w:firstLine="3"/>
        <w:jc w:val="center"/>
        <w:rPr>
          <w:sz w:val="24"/>
        </w:rPr>
      </w:pPr>
      <w:r>
        <w:rPr>
          <w:color w:val="0000FF"/>
          <w:sz w:val="24"/>
          <w:u w:val="single" w:color="0000FF"/>
        </w:rPr>
        <w:t xml:space="preserve">Arrêté du </w:t>
      </w:r>
      <w:r w:rsidR="00EF4A04">
        <w:rPr>
          <w:color w:val="0000FF"/>
          <w:sz w:val="24"/>
          <w:u w:val="single" w:color="0000FF"/>
        </w:rPr>
        <w:t>13 mai 2024</w:t>
      </w:r>
      <w:r>
        <w:rPr>
          <w:color w:val="0000FF"/>
          <w:sz w:val="24"/>
          <w:u w:val="single" w:color="0000FF"/>
        </w:rPr>
        <w:t xml:space="preserve"> fixant les conditions de réalisation des tests rapides</w:t>
      </w:r>
      <w:r>
        <w:rPr>
          <w:color w:val="0000FF"/>
          <w:sz w:val="24"/>
        </w:rPr>
        <w:t xml:space="preserve"> </w:t>
      </w:r>
      <w:r>
        <w:rPr>
          <w:color w:val="0000FF"/>
          <w:sz w:val="24"/>
          <w:u w:val="single" w:color="0000FF"/>
        </w:rPr>
        <w:t>d'orientation</w:t>
      </w:r>
      <w:r>
        <w:rPr>
          <w:color w:val="0000FF"/>
          <w:spacing w:val="-5"/>
          <w:sz w:val="24"/>
          <w:u w:val="single" w:color="0000FF"/>
        </w:rPr>
        <w:t xml:space="preserve"> </w:t>
      </w:r>
      <w:r>
        <w:rPr>
          <w:color w:val="0000FF"/>
          <w:sz w:val="24"/>
          <w:u w:val="single" w:color="0000FF"/>
        </w:rPr>
        <w:t>diagnostique</w:t>
      </w:r>
      <w:r>
        <w:rPr>
          <w:color w:val="0000FF"/>
          <w:spacing w:val="-3"/>
          <w:sz w:val="24"/>
          <w:u w:val="single" w:color="0000FF"/>
        </w:rPr>
        <w:t xml:space="preserve"> </w:t>
      </w:r>
      <w:r>
        <w:rPr>
          <w:color w:val="0000FF"/>
          <w:sz w:val="24"/>
          <w:u w:val="single" w:color="0000FF"/>
        </w:rPr>
        <w:t>de</w:t>
      </w:r>
      <w:r>
        <w:rPr>
          <w:color w:val="0000FF"/>
          <w:spacing w:val="-3"/>
          <w:sz w:val="24"/>
          <w:u w:val="single" w:color="0000FF"/>
        </w:rPr>
        <w:t xml:space="preserve"> </w:t>
      </w:r>
      <w:r>
        <w:rPr>
          <w:color w:val="0000FF"/>
          <w:sz w:val="24"/>
          <w:u w:val="single" w:color="0000FF"/>
        </w:rPr>
        <w:t>l'infection</w:t>
      </w:r>
      <w:r>
        <w:rPr>
          <w:color w:val="0000FF"/>
          <w:spacing w:val="-3"/>
          <w:sz w:val="24"/>
          <w:u w:val="single" w:color="0000FF"/>
        </w:rPr>
        <w:t xml:space="preserve"> </w:t>
      </w:r>
      <w:r>
        <w:rPr>
          <w:color w:val="0000FF"/>
          <w:sz w:val="24"/>
          <w:u w:val="single" w:color="0000FF"/>
        </w:rPr>
        <w:t>par</w:t>
      </w:r>
      <w:r>
        <w:rPr>
          <w:color w:val="0000FF"/>
          <w:spacing w:val="-5"/>
          <w:sz w:val="24"/>
          <w:u w:val="single" w:color="0000FF"/>
        </w:rPr>
        <w:t xml:space="preserve"> </w:t>
      </w:r>
      <w:r>
        <w:rPr>
          <w:color w:val="0000FF"/>
          <w:sz w:val="24"/>
          <w:u w:val="single" w:color="0000FF"/>
        </w:rPr>
        <w:t>les</w:t>
      </w:r>
      <w:r>
        <w:rPr>
          <w:color w:val="0000FF"/>
          <w:spacing w:val="-4"/>
          <w:sz w:val="24"/>
          <w:u w:val="single" w:color="0000FF"/>
        </w:rPr>
        <w:t xml:space="preserve"> </w:t>
      </w:r>
      <w:r>
        <w:rPr>
          <w:color w:val="0000FF"/>
          <w:sz w:val="24"/>
          <w:u w:val="single" w:color="0000FF"/>
        </w:rPr>
        <w:t>virus</w:t>
      </w:r>
      <w:r>
        <w:rPr>
          <w:color w:val="0000FF"/>
          <w:spacing w:val="-4"/>
          <w:sz w:val="24"/>
          <w:u w:val="single" w:color="0000FF"/>
        </w:rPr>
        <w:t xml:space="preserve"> </w:t>
      </w:r>
      <w:r>
        <w:rPr>
          <w:color w:val="0000FF"/>
          <w:sz w:val="24"/>
          <w:u w:val="single" w:color="0000FF"/>
        </w:rPr>
        <w:t>de</w:t>
      </w:r>
      <w:r>
        <w:rPr>
          <w:color w:val="0000FF"/>
          <w:spacing w:val="-3"/>
          <w:sz w:val="24"/>
          <w:u w:val="single" w:color="0000FF"/>
        </w:rPr>
        <w:t xml:space="preserve"> </w:t>
      </w:r>
      <w:r>
        <w:rPr>
          <w:color w:val="0000FF"/>
          <w:sz w:val="24"/>
          <w:u w:val="single" w:color="0000FF"/>
        </w:rPr>
        <w:t>l'immunodéficience</w:t>
      </w:r>
      <w:r>
        <w:rPr>
          <w:color w:val="0000FF"/>
          <w:spacing w:val="-5"/>
          <w:sz w:val="24"/>
          <w:u w:val="single" w:color="0000FF"/>
        </w:rPr>
        <w:t xml:space="preserve"> </w:t>
      </w:r>
      <w:r>
        <w:rPr>
          <w:color w:val="0000FF"/>
          <w:sz w:val="24"/>
          <w:u w:val="single" w:color="0000FF"/>
        </w:rPr>
        <w:t>humaine</w:t>
      </w:r>
      <w:r>
        <w:rPr>
          <w:color w:val="0000FF"/>
          <w:sz w:val="24"/>
        </w:rPr>
        <w:t xml:space="preserve"> </w:t>
      </w:r>
      <w:r>
        <w:rPr>
          <w:color w:val="0000FF"/>
          <w:sz w:val="24"/>
          <w:u w:val="single" w:color="0000FF"/>
        </w:rPr>
        <w:t>(VIH 1 et 2) et des infections par les virus de l'hépatite C (VHC) et de l'hépatite B</w:t>
      </w:r>
      <w:r>
        <w:rPr>
          <w:color w:val="0000FF"/>
          <w:sz w:val="24"/>
        </w:rPr>
        <w:t xml:space="preserve"> </w:t>
      </w:r>
      <w:r>
        <w:rPr>
          <w:color w:val="0000FF"/>
          <w:sz w:val="24"/>
          <w:u w:val="single" w:color="0000FF"/>
        </w:rPr>
        <w:t>(VHB)</w:t>
      </w:r>
      <w:r w:rsidR="00EF4A04" w:rsidRPr="00EF4A04">
        <w:rPr>
          <w:color w:val="0000FF"/>
          <w:sz w:val="24"/>
          <w:u w:val="single" w:color="0000FF"/>
        </w:rPr>
        <w:t xml:space="preserve"> et par la bactérie </w:t>
      </w:r>
      <w:r w:rsidR="00EF4A04" w:rsidRPr="00EF4A04">
        <w:rPr>
          <w:i/>
          <w:iCs/>
          <w:color w:val="0000FF"/>
          <w:sz w:val="24"/>
          <w:u w:val="single" w:color="0000FF"/>
        </w:rPr>
        <w:t xml:space="preserve">Treponema pallidum </w:t>
      </w:r>
      <w:r w:rsidR="00EF4A04" w:rsidRPr="00EF4A04">
        <w:rPr>
          <w:color w:val="0000FF"/>
          <w:sz w:val="24"/>
          <w:u w:val="single" w:color="0000FF"/>
        </w:rPr>
        <w:t>(syphilis)</w:t>
      </w:r>
      <w:r w:rsidRPr="00EF4A04">
        <w:rPr>
          <w:color w:val="0000FF"/>
          <w:sz w:val="24"/>
          <w:u w:val="single" w:color="0000FF"/>
        </w:rPr>
        <w:t>,</w:t>
      </w:r>
      <w:r>
        <w:rPr>
          <w:color w:val="0000FF"/>
          <w:sz w:val="24"/>
          <w:u w:val="single" w:color="0000FF"/>
        </w:rPr>
        <w:t xml:space="preserve"> en milieu médico-social ou associatif et autres centres et établissements</w:t>
      </w:r>
      <w:r>
        <w:rPr>
          <w:color w:val="0000FF"/>
          <w:sz w:val="24"/>
        </w:rPr>
        <w:t xml:space="preserve"> </w:t>
      </w:r>
      <w:r>
        <w:rPr>
          <w:color w:val="0000FF"/>
          <w:spacing w:val="-2"/>
          <w:sz w:val="24"/>
          <w:u w:val="single" w:color="0000FF"/>
        </w:rPr>
        <w:t>autorisés</w:t>
      </w:r>
    </w:p>
    <w:p w14:paraId="460E0BE5" w14:textId="77777777" w:rsidR="00C15853" w:rsidRDefault="00C15853">
      <w:pPr>
        <w:pStyle w:val="Corpsdetexte"/>
        <w:ind w:left="0"/>
        <w:jc w:val="left"/>
      </w:pPr>
    </w:p>
    <w:p w14:paraId="23EB39D8" w14:textId="77777777" w:rsidR="00C15853" w:rsidRDefault="00C15853">
      <w:pPr>
        <w:pStyle w:val="Corpsdetexte"/>
        <w:ind w:left="0"/>
        <w:jc w:val="left"/>
      </w:pPr>
    </w:p>
    <w:p w14:paraId="1216CB4B" w14:textId="77777777" w:rsidR="00C15853" w:rsidRDefault="00C15853">
      <w:pPr>
        <w:pStyle w:val="Corpsdetexte"/>
        <w:ind w:left="0"/>
        <w:jc w:val="left"/>
      </w:pPr>
    </w:p>
    <w:p w14:paraId="0F81BC17" w14:textId="77777777" w:rsidR="00C15853" w:rsidRDefault="00C15853">
      <w:pPr>
        <w:pStyle w:val="Corpsdetexte"/>
        <w:ind w:left="0"/>
        <w:jc w:val="left"/>
      </w:pPr>
    </w:p>
    <w:p w14:paraId="7F196889" w14:textId="77777777" w:rsidR="00C15853" w:rsidRDefault="00C15853">
      <w:pPr>
        <w:pStyle w:val="Corpsdetexte"/>
        <w:spacing w:before="1"/>
        <w:ind w:left="0"/>
        <w:jc w:val="left"/>
      </w:pPr>
    </w:p>
    <w:p w14:paraId="0CCC5A17" w14:textId="77777777" w:rsidR="00C15853" w:rsidRDefault="00920A0F">
      <w:pPr>
        <w:pStyle w:val="Titre1"/>
        <w:ind w:right="2"/>
        <w:jc w:val="center"/>
      </w:pPr>
      <w:r>
        <w:rPr>
          <w:spacing w:val="-2"/>
        </w:rPr>
        <w:t>PRÉAMBULE</w:t>
      </w:r>
    </w:p>
    <w:p w14:paraId="16A8E3D3" w14:textId="77777777" w:rsidR="00C15853" w:rsidRDefault="00C15853">
      <w:pPr>
        <w:pStyle w:val="Corpsdetexte"/>
        <w:spacing w:before="2"/>
        <w:ind w:left="0"/>
        <w:jc w:val="left"/>
        <w:rPr>
          <w:rFonts w:ascii="Arial"/>
          <w:b/>
        </w:rPr>
      </w:pPr>
    </w:p>
    <w:p w14:paraId="6838C35B" w14:textId="61CDB693" w:rsidR="00C15853" w:rsidRDefault="00920A0F" w:rsidP="00BF156D">
      <w:pPr>
        <w:pStyle w:val="Corpsdetexte"/>
        <w:spacing w:before="1"/>
        <w:ind w:left="140" w:right="131"/>
      </w:pPr>
      <w:r>
        <w:t>Le recours aux tests rapides d’orientation diagnostique (TROD) de l’infection par les virus de l’immunodéficience</w:t>
      </w:r>
      <w:r>
        <w:rPr>
          <w:spacing w:val="-2"/>
        </w:rPr>
        <w:t xml:space="preserve"> </w:t>
      </w:r>
      <w:r>
        <w:t>humaine</w:t>
      </w:r>
      <w:r>
        <w:rPr>
          <w:spacing w:val="-2"/>
        </w:rPr>
        <w:t xml:space="preserve"> </w:t>
      </w:r>
      <w:r>
        <w:t>(VIH</w:t>
      </w:r>
      <w:r>
        <w:rPr>
          <w:spacing w:val="-2"/>
        </w:rPr>
        <w:t xml:space="preserve"> </w:t>
      </w:r>
      <w:r>
        <w:t>1</w:t>
      </w:r>
      <w:r>
        <w:rPr>
          <w:spacing w:val="-2"/>
        </w:rPr>
        <w:t xml:space="preserve"> </w:t>
      </w:r>
      <w:r>
        <w:t>et 2), par le</w:t>
      </w:r>
      <w:r>
        <w:rPr>
          <w:spacing w:val="-2"/>
        </w:rPr>
        <w:t xml:space="preserve"> </w:t>
      </w:r>
      <w:r>
        <w:t>virus</w:t>
      </w:r>
      <w:r>
        <w:rPr>
          <w:spacing w:val="-1"/>
        </w:rPr>
        <w:t xml:space="preserve"> </w:t>
      </w:r>
      <w:r>
        <w:t>de</w:t>
      </w:r>
      <w:r>
        <w:rPr>
          <w:spacing w:val="-2"/>
        </w:rPr>
        <w:t xml:space="preserve"> </w:t>
      </w:r>
      <w:r>
        <w:t>l’hépatite</w:t>
      </w:r>
      <w:r>
        <w:rPr>
          <w:spacing w:val="-2"/>
        </w:rPr>
        <w:t xml:space="preserve"> </w:t>
      </w:r>
      <w:r>
        <w:t>C</w:t>
      </w:r>
      <w:r>
        <w:rPr>
          <w:spacing w:val="-2"/>
        </w:rPr>
        <w:t xml:space="preserve"> </w:t>
      </w:r>
      <w:r>
        <w:t>(VHC)</w:t>
      </w:r>
      <w:r w:rsidR="00BF156D">
        <w:t xml:space="preserve">, </w:t>
      </w:r>
      <w:r>
        <w:t>par le</w:t>
      </w:r>
      <w:r>
        <w:rPr>
          <w:spacing w:val="-2"/>
        </w:rPr>
        <w:t xml:space="preserve"> </w:t>
      </w:r>
      <w:r>
        <w:t>virus</w:t>
      </w:r>
      <w:r>
        <w:rPr>
          <w:spacing w:val="-1"/>
        </w:rPr>
        <w:t xml:space="preserve"> </w:t>
      </w:r>
      <w:r>
        <w:t xml:space="preserve">de l’hépatite B (VHB) </w:t>
      </w:r>
      <w:r w:rsidR="00BF156D" w:rsidRPr="00BF156D">
        <w:t xml:space="preserve">ou par la bactérie </w:t>
      </w:r>
      <w:r w:rsidR="00BF156D" w:rsidRPr="00BF156D">
        <w:rPr>
          <w:i/>
          <w:iCs/>
        </w:rPr>
        <w:t xml:space="preserve">Treponema pallidum </w:t>
      </w:r>
      <w:r w:rsidR="00BF156D" w:rsidRPr="00BF156D">
        <w:t>(syphilis)</w:t>
      </w:r>
      <w:r w:rsidR="00BF156D">
        <w:t xml:space="preserve"> </w:t>
      </w:r>
      <w:r>
        <w:t>doit contribuer à compléter l’offre conventionnelle existante de dépistage de ces infections (1) auprès des populations et des individus les plus exposés au risque de transmission du VIH, du VHC ou du VHB, notamment les populations ayant des difficultés à recourir à</w:t>
      </w:r>
      <w:r>
        <w:rPr>
          <w:spacing w:val="-1"/>
        </w:rPr>
        <w:t xml:space="preserve"> </w:t>
      </w:r>
      <w:r>
        <w:t>des structures de</w:t>
      </w:r>
      <w:r>
        <w:rPr>
          <w:spacing w:val="-1"/>
        </w:rPr>
        <w:t xml:space="preserve"> </w:t>
      </w:r>
      <w:r>
        <w:t>soins ou</w:t>
      </w:r>
      <w:r>
        <w:rPr>
          <w:spacing w:val="-1"/>
        </w:rPr>
        <w:t xml:space="preserve"> </w:t>
      </w:r>
      <w:r>
        <w:t>de prévention</w:t>
      </w:r>
      <w:r>
        <w:rPr>
          <w:spacing w:val="-1"/>
        </w:rPr>
        <w:t xml:space="preserve"> </w:t>
      </w:r>
      <w:r>
        <w:t>quelle</w:t>
      </w:r>
      <w:r>
        <w:rPr>
          <w:spacing w:val="-1"/>
        </w:rPr>
        <w:t xml:space="preserve"> </w:t>
      </w:r>
      <w:r>
        <w:t>qu’en</w:t>
      </w:r>
      <w:r>
        <w:rPr>
          <w:spacing w:val="-1"/>
        </w:rPr>
        <w:t xml:space="preserve"> </w:t>
      </w:r>
      <w:r>
        <w:t>soit la</w:t>
      </w:r>
      <w:r>
        <w:rPr>
          <w:spacing w:val="-1"/>
        </w:rPr>
        <w:t xml:space="preserve"> </w:t>
      </w:r>
      <w:r>
        <w:t>raison</w:t>
      </w:r>
      <w:r>
        <w:rPr>
          <w:spacing w:val="-1"/>
        </w:rPr>
        <w:t xml:space="preserve"> </w:t>
      </w:r>
      <w:r>
        <w:t>(géographique, sociale, …) et les populations non ou insuffisamment dépistées qui seraient plus facilement convaincues du fait d’un dépistage immédiat par un test rapide. L’usage de TROD est subordonné au respect du cahier des charges détaillé ci-dessous.</w:t>
      </w:r>
    </w:p>
    <w:p w14:paraId="64AB729E" w14:textId="77777777" w:rsidR="00C15853" w:rsidRDefault="00C15853">
      <w:pPr>
        <w:pStyle w:val="Corpsdetexte"/>
        <w:spacing w:before="249"/>
        <w:ind w:left="0"/>
        <w:jc w:val="left"/>
      </w:pPr>
    </w:p>
    <w:p w14:paraId="2058FB35" w14:textId="77777777" w:rsidR="00C15853" w:rsidRDefault="00920A0F">
      <w:pPr>
        <w:pStyle w:val="Titre1"/>
        <w:jc w:val="center"/>
      </w:pPr>
      <w:r>
        <w:t>CAHIER</w:t>
      </w:r>
      <w:r>
        <w:rPr>
          <w:spacing w:val="-4"/>
        </w:rPr>
        <w:t xml:space="preserve"> </w:t>
      </w:r>
      <w:r>
        <w:t>DES</w:t>
      </w:r>
      <w:r>
        <w:rPr>
          <w:spacing w:val="-4"/>
        </w:rPr>
        <w:t xml:space="preserve"> </w:t>
      </w:r>
      <w:r>
        <w:rPr>
          <w:spacing w:val="-2"/>
        </w:rPr>
        <w:t>CHARGES</w:t>
      </w:r>
    </w:p>
    <w:p w14:paraId="10A9D1A3" w14:textId="77777777" w:rsidR="00C15853" w:rsidRDefault="00C15853">
      <w:pPr>
        <w:pStyle w:val="Corpsdetexte"/>
        <w:spacing w:before="252"/>
        <w:ind w:left="0"/>
        <w:jc w:val="left"/>
        <w:rPr>
          <w:rFonts w:ascii="Arial"/>
          <w:b/>
        </w:rPr>
      </w:pPr>
    </w:p>
    <w:p w14:paraId="5DDC023A" w14:textId="106DB151" w:rsidR="00C15853" w:rsidRDefault="00455DC8" w:rsidP="0006710C">
      <w:pPr>
        <w:pStyle w:val="Paragraphedeliste"/>
        <w:tabs>
          <w:tab w:val="left" w:pos="645"/>
          <w:tab w:val="left" w:pos="1804"/>
        </w:tabs>
        <w:ind w:left="812" w:right="399"/>
        <w:jc w:val="center"/>
      </w:pPr>
      <w:r>
        <w:rPr>
          <w:rFonts w:ascii="Arial" w:hAnsi="Arial"/>
          <w:b/>
        </w:rPr>
        <w:t>1.Objectifs</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l’offre</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dépistage</w:t>
      </w:r>
      <w:r>
        <w:rPr>
          <w:rFonts w:ascii="Arial" w:hAnsi="Arial"/>
          <w:b/>
          <w:spacing w:val="-3"/>
        </w:rPr>
        <w:t xml:space="preserve"> </w:t>
      </w:r>
      <w:r>
        <w:rPr>
          <w:rFonts w:ascii="Arial" w:hAnsi="Arial"/>
          <w:b/>
        </w:rPr>
        <w:t>par</w:t>
      </w:r>
      <w:r>
        <w:rPr>
          <w:rFonts w:ascii="Arial" w:hAnsi="Arial"/>
          <w:b/>
          <w:spacing w:val="-4"/>
        </w:rPr>
        <w:t xml:space="preserve"> </w:t>
      </w:r>
      <w:r>
        <w:rPr>
          <w:rFonts w:ascii="Arial" w:hAnsi="Arial"/>
          <w:b/>
        </w:rPr>
        <w:t>tests</w:t>
      </w:r>
      <w:r>
        <w:rPr>
          <w:rFonts w:ascii="Arial" w:hAnsi="Arial"/>
          <w:b/>
          <w:spacing w:val="-5"/>
        </w:rPr>
        <w:t xml:space="preserve"> </w:t>
      </w:r>
      <w:r>
        <w:rPr>
          <w:rFonts w:ascii="Arial" w:hAnsi="Arial"/>
          <w:b/>
        </w:rPr>
        <w:t>rapides</w:t>
      </w:r>
      <w:r>
        <w:rPr>
          <w:rFonts w:ascii="Arial" w:hAnsi="Arial"/>
          <w:b/>
          <w:spacing w:val="-2"/>
        </w:rPr>
        <w:t xml:space="preserve"> </w:t>
      </w:r>
      <w:r>
        <w:rPr>
          <w:rFonts w:ascii="Arial" w:hAnsi="Arial"/>
          <w:b/>
        </w:rPr>
        <w:t>d’orientation</w:t>
      </w:r>
      <w:r>
        <w:rPr>
          <w:rFonts w:ascii="Arial" w:hAnsi="Arial"/>
          <w:b/>
          <w:spacing w:val="-5"/>
        </w:rPr>
        <w:t xml:space="preserve"> </w:t>
      </w:r>
      <w:r>
        <w:rPr>
          <w:rFonts w:ascii="Arial" w:hAnsi="Arial"/>
          <w:b/>
        </w:rPr>
        <w:t>diagnostique</w:t>
      </w:r>
    </w:p>
    <w:p w14:paraId="5C4E44C2" w14:textId="77777777" w:rsidR="00C15853" w:rsidRDefault="00C15853">
      <w:pPr>
        <w:pStyle w:val="Corpsdetexte"/>
        <w:ind w:left="0"/>
        <w:jc w:val="left"/>
        <w:rPr>
          <w:rFonts w:ascii="Arial"/>
          <w:b/>
        </w:rPr>
      </w:pPr>
    </w:p>
    <w:p w14:paraId="41B0B093" w14:textId="77777777" w:rsidR="00C15853" w:rsidRDefault="00C15853">
      <w:pPr>
        <w:pStyle w:val="Corpsdetexte"/>
        <w:spacing w:before="4"/>
        <w:ind w:left="0"/>
        <w:jc w:val="left"/>
        <w:rPr>
          <w:rFonts w:ascii="Arial"/>
          <w:b/>
        </w:rPr>
      </w:pPr>
    </w:p>
    <w:p w14:paraId="3272D909" w14:textId="353EADB9" w:rsidR="00C15853" w:rsidRDefault="00920A0F">
      <w:pPr>
        <w:pStyle w:val="Paragraphedeliste"/>
        <w:numPr>
          <w:ilvl w:val="1"/>
          <w:numId w:val="2"/>
        </w:numPr>
        <w:tabs>
          <w:tab w:val="left" w:pos="603"/>
          <w:tab w:val="left" w:pos="606"/>
        </w:tabs>
        <w:jc w:val="both"/>
      </w:pPr>
      <w:r>
        <w:t xml:space="preserve">Les offres de dépistage par TROD, ont pour objectif de permettre aux populations les plus exposées au risque de transmission de ces </w:t>
      </w:r>
      <w:r w:rsidR="00BF156D">
        <w:t>infections</w:t>
      </w:r>
      <w:r>
        <w:t xml:space="preserve">, ou les plus isolées du système de </w:t>
      </w:r>
      <w:r w:rsidR="002B656E">
        <w:t>soins :</w:t>
      </w:r>
    </w:p>
    <w:p w14:paraId="7AFCFBBE" w14:textId="77777777" w:rsidR="00C15853" w:rsidRDefault="00920A0F">
      <w:pPr>
        <w:pStyle w:val="Paragraphedeliste"/>
        <w:numPr>
          <w:ilvl w:val="2"/>
          <w:numId w:val="2"/>
        </w:numPr>
        <w:tabs>
          <w:tab w:val="left" w:pos="792"/>
        </w:tabs>
        <w:ind w:right="134" w:firstLine="0"/>
      </w:pPr>
      <w:proofErr w:type="gramStart"/>
      <w:r>
        <w:t>un</w:t>
      </w:r>
      <w:proofErr w:type="gramEnd"/>
      <w:r>
        <w:t xml:space="preserve"> accès facilité et renouvelé à la connaissance</w:t>
      </w:r>
      <w:r>
        <w:rPr>
          <w:spacing w:val="-1"/>
        </w:rPr>
        <w:t xml:space="preserve"> </w:t>
      </w:r>
      <w:r>
        <w:t>de leur statut sérologique vis-à-vis de chacun de ces trois virus;</w:t>
      </w:r>
    </w:p>
    <w:p w14:paraId="5652A12E" w14:textId="77777777" w:rsidR="00C15853" w:rsidRDefault="00920A0F">
      <w:pPr>
        <w:pStyle w:val="Paragraphedeliste"/>
        <w:numPr>
          <w:ilvl w:val="2"/>
          <w:numId w:val="2"/>
        </w:numPr>
        <w:tabs>
          <w:tab w:val="left" w:pos="804"/>
        </w:tabs>
        <w:ind w:firstLine="0"/>
      </w:pPr>
      <w:proofErr w:type="gramStart"/>
      <w:r>
        <w:t>une</w:t>
      </w:r>
      <w:proofErr w:type="gramEnd"/>
      <w:r>
        <w:t xml:space="preserve"> adaptation des stratégies préventives de chacun en fonction de la connaissance actualisée</w:t>
      </w:r>
      <w:r>
        <w:rPr>
          <w:spacing w:val="-1"/>
        </w:rPr>
        <w:t xml:space="preserve"> </w:t>
      </w:r>
      <w:r>
        <w:t>de</w:t>
      </w:r>
      <w:r>
        <w:rPr>
          <w:spacing w:val="-1"/>
        </w:rPr>
        <w:t xml:space="preserve"> </w:t>
      </w:r>
      <w:r>
        <w:t>son</w:t>
      </w:r>
      <w:r>
        <w:rPr>
          <w:spacing w:val="-3"/>
        </w:rPr>
        <w:t xml:space="preserve"> </w:t>
      </w:r>
      <w:r>
        <w:t>statut</w:t>
      </w:r>
      <w:r>
        <w:rPr>
          <w:spacing w:val="-2"/>
        </w:rPr>
        <w:t xml:space="preserve"> </w:t>
      </w:r>
      <w:r>
        <w:t>sérologique</w:t>
      </w:r>
      <w:r>
        <w:rPr>
          <w:spacing w:val="-3"/>
        </w:rPr>
        <w:t xml:space="preserve"> </w:t>
      </w:r>
      <w:r>
        <w:t>et</w:t>
      </w:r>
      <w:r>
        <w:rPr>
          <w:spacing w:val="-2"/>
        </w:rPr>
        <w:t xml:space="preserve"> </w:t>
      </w:r>
      <w:r>
        <w:t>de</w:t>
      </w:r>
      <w:r>
        <w:rPr>
          <w:spacing w:val="-1"/>
        </w:rPr>
        <w:t xml:space="preserve"> </w:t>
      </w:r>
      <w:r>
        <w:t>celle</w:t>
      </w:r>
      <w:r>
        <w:rPr>
          <w:spacing w:val="-1"/>
        </w:rPr>
        <w:t xml:space="preserve"> </w:t>
      </w:r>
      <w:r>
        <w:t>de</w:t>
      </w:r>
      <w:r>
        <w:rPr>
          <w:spacing w:val="-1"/>
        </w:rPr>
        <w:t xml:space="preserve"> </w:t>
      </w:r>
      <w:r>
        <w:t>ses partenaires ou</w:t>
      </w:r>
      <w:r>
        <w:rPr>
          <w:spacing w:val="-3"/>
        </w:rPr>
        <w:t xml:space="preserve"> </w:t>
      </w:r>
      <w:r>
        <w:t>de</w:t>
      </w:r>
      <w:r>
        <w:rPr>
          <w:spacing w:val="-3"/>
        </w:rPr>
        <w:t xml:space="preserve"> </w:t>
      </w:r>
      <w:r>
        <w:t>son</w:t>
      </w:r>
      <w:r>
        <w:rPr>
          <w:spacing w:val="-1"/>
        </w:rPr>
        <w:t xml:space="preserve"> </w:t>
      </w:r>
      <w:r>
        <w:t>entourage;</w:t>
      </w:r>
    </w:p>
    <w:p w14:paraId="3146CB91" w14:textId="0C72A47C" w:rsidR="00C15853" w:rsidRDefault="00920A0F" w:rsidP="00CB4E2F">
      <w:pPr>
        <w:pStyle w:val="Paragraphedeliste"/>
        <w:numPr>
          <w:ilvl w:val="2"/>
          <w:numId w:val="2"/>
        </w:numPr>
        <w:tabs>
          <w:tab w:val="left" w:pos="809"/>
        </w:tabs>
        <w:spacing w:before="73"/>
        <w:ind w:right="134" w:firstLine="0"/>
      </w:pPr>
      <w:proofErr w:type="gramStart"/>
      <w:r>
        <w:t>l’entrée</w:t>
      </w:r>
      <w:proofErr w:type="gramEnd"/>
      <w:r>
        <w:t xml:space="preserve"> et l’accompagnement dans une démarche de soins la plus précoce possible pour les personnes découvertes porteuses du VIH ou du VHC ou du VHB.</w:t>
      </w:r>
    </w:p>
    <w:p w14:paraId="03FC3792" w14:textId="77777777" w:rsidR="00C15853" w:rsidRDefault="00C15853">
      <w:pPr>
        <w:pStyle w:val="Corpsdetexte"/>
        <w:spacing w:before="1"/>
        <w:ind w:left="0"/>
        <w:jc w:val="left"/>
      </w:pPr>
    </w:p>
    <w:p w14:paraId="7DEC90DC" w14:textId="07ED4ACE" w:rsidR="00C15853" w:rsidRDefault="00920A0F">
      <w:pPr>
        <w:pStyle w:val="Paragraphedeliste"/>
        <w:numPr>
          <w:ilvl w:val="1"/>
          <w:numId w:val="2"/>
        </w:numPr>
        <w:tabs>
          <w:tab w:val="left" w:pos="572"/>
        </w:tabs>
        <w:ind w:left="140" w:firstLine="0"/>
        <w:jc w:val="both"/>
      </w:pPr>
      <w:r>
        <w:t>La</w:t>
      </w:r>
      <w:r>
        <w:rPr>
          <w:spacing w:val="-2"/>
        </w:rPr>
        <w:t xml:space="preserve"> </w:t>
      </w:r>
      <w:r>
        <w:t>facilité d’utilisation du TROD permet son usage</w:t>
      </w:r>
      <w:proofErr w:type="gramStart"/>
      <w:r w:rsidR="00BF156D">
        <w:t xml:space="preserve"> </w:t>
      </w:r>
      <w:r>
        <w:t>«hors</w:t>
      </w:r>
      <w:proofErr w:type="gramEnd"/>
      <w:r>
        <w:t xml:space="preserve"> les murs», </w:t>
      </w:r>
      <w:r w:rsidR="00BF156D" w:rsidRPr="00BF156D">
        <w:t xml:space="preserve">en vue d’aller au-devant des populations les plus éloignées d’une offre traditionnelle de dépistage ou de celles qui n’y ont pas recours. Il s’agit de proposer à ces populations un dépistage par TROD, intégré </w:t>
      </w:r>
      <w:r w:rsidR="00BF156D" w:rsidRPr="00BF156D">
        <w:lastRenderedPageBreak/>
        <w:t xml:space="preserve">dans une offre complète de prévention (information, conseils, distribution de documents et de matériel de prévention ou de réduction des risques, orientation vers d’autres dépistages, prophylaxie </w:t>
      </w:r>
      <w:proofErr w:type="spellStart"/>
      <w:r w:rsidR="00BF156D" w:rsidRPr="00BF156D">
        <w:t>pré-exposition</w:t>
      </w:r>
      <w:proofErr w:type="spellEnd"/>
      <w:r w:rsidR="00BF156D" w:rsidRPr="00BF156D">
        <w:t xml:space="preserve"> (</w:t>
      </w:r>
      <w:proofErr w:type="spellStart"/>
      <w:r w:rsidR="00BF156D" w:rsidRPr="00BF156D">
        <w:t>PrEP</w:t>
      </w:r>
      <w:proofErr w:type="spellEnd"/>
      <w:r w:rsidR="00BF156D" w:rsidRPr="00BF156D">
        <w:t>), traitement comme prévention (</w:t>
      </w:r>
      <w:proofErr w:type="spellStart"/>
      <w:r w:rsidR="00BF156D" w:rsidRPr="00BF156D">
        <w:t>TasP</w:t>
      </w:r>
      <w:proofErr w:type="spellEnd"/>
      <w:r w:rsidR="00BF156D" w:rsidRPr="00BF156D">
        <w:t xml:space="preserve">), notification au partenaire… </w:t>
      </w:r>
    </w:p>
    <w:p w14:paraId="777E4A4B" w14:textId="77777777" w:rsidR="00C15853" w:rsidRDefault="00920A0F" w:rsidP="0006710C">
      <w:pPr>
        <w:pStyle w:val="Titre1"/>
        <w:numPr>
          <w:ilvl w:val="0"/>
          <w:numId w:val="2"/>
        </w:numPr>
        <w:tabs>
          <w:tab w:val="left" w:pos="3906"/>
        </w:tabs>
        <w:spacing w:before="250"/>
        <w:ind w:left="3906" w:hanging="405"/>
        <w:jc w:val="left"/>
      </w:pPr>
      <w:r>
        <w:t>Publics</w:t>
      </w:r>
      <w:r>
        <w:rPr>
          <w:spacing w:val="-2"/>
        </w:rPr>
        <w:t xml:space="preserve"> concernés</w:t>
      </w:r>
    </w:p>
    <w:p w14:paraId="42F5218C" w14:textId="77777777" w:rsidR="00C15853" w:rsidRDefault="00C15853">
      <w:pPr>
        <w:pStyle w:val="Corpsdetexte"/>
        <w:spacing w:before="3"/>
        <w:ind w:left="0"/>
        <w:jc w:val="left"/>
        <w:rPr>
          <w:rFonts w:ascii="Arial"/>
          <w:b/>
        </w:rPr>
      </w:pPr>
    </w:p>
    <w:p w14:paraId="51B25791" w14:textId="77777777" w:rsidR="0006710C" w:rsidRDefault="0006710C">
      <w:pPr>
        <w:pStyle w:val="Corpsdetexte"/>
        <w:spacing w:before="3"/>
        <w:ind w:left="0"/>
        <w:jc w:val="left"/>
        <w:rPr>
          <w:rFonts w:ascii="Arial"/>
          <w:b/>
        </w:rPr>
      </w:pPr>
    </w:p>
    <w:p w14:paraId="2C6BD271" w14:textId="77777777" w:rsidR="00455DC8" w:rsidRDefault="00455DC8" w:rsidP="00455DC8">
      <w:pPr>
        <w:pStyle w:val="Corpsdetexte"/>
        <w:ind w:left="0" w:right="131"/>
      </w:pPr>
      <w:r w:rsidRPr="00455DC8">
        <w:t xml:space="preserve">Les TROD ont vocation à bénéficier prioritairement aux populations et aux personnes les plus exposées aux risques de transmission des infections listées à l’article 1 telles que définies dans les recommandations de la Haute Autorité de santé ou du rapport d’experts réalisé sous l’égide du Conseil national du sida et des hépatites virales chroniques et de l’ANRS - Maladies infectieuses émergentes. </w:t>
      </w:r>
    </w:p>
    <w:p w14:paraId="086871C1" w14:textId="77777777" w:rsidR="00455DC8" w:rsidRDefault="00455DC8" w:rsidP="00455DC8">
      <w:pPr>
        <w:pStyle w:val="Corpsdetexte"/>
        <w:ind w:left="0" w:right="131"/>
      </w:pPr>
      <w:r w:rsidRPr="00455DC8">
        <w:t xml:space="preserve">La fréquence des dépistages répétés en fonction des populations ou des virus considérés est précisée dans les recommandations en vigueur. </w:t>
      </w:r>
    </w:p>
    <w:p w14:paraId="6E6EA4B1" w14:textId="3F750C5F" w:rsidR="00455DC8" w:rsidRDefault="00455DC8" w:rsidP="00455DC8">
      <w:pPr>
        <w:pStyle w:val="Corpsdetexte"/>
        <w:ind w:left="0" w:right="131"/>
      </w:pPr>
      <w:r w:rsidRPr="00455DC8">
        <w:t xml:space="preserve">Chez les personnes mineures, le dépistage par TROD peut être pratiqué à la condition que l’un des titulaires de l’autorité parentale en soit informé et y ait consenti au préalable. Toutefois, lorsque ce dépistage s’impose pour sauvegarder la santé d’une personne mineure et dans le cas où la personne mineure s’oppose expressément à la consultation du ou des titulaires de l’autorité parentale afin de garder le secret sur son état de santé, le personnel ayant reçu une formation adaptée et relevant des structures habilitées ou autorisées est autorisé à déroger au recueil du consentement du ou des titulaires de l’autorité parentale (1). </w:t>
      </w:r>
    </w:p>
    <w:p w14:paraId="23CD20F1" w14:textId="77777777" w:rsidR="00455DC8" w:rsidRDefault="00455DC8" w:rsidP="00455DC8">
      <w:pPr>
        <w:pStyle w:val="Corpsdetexte"/>
        <w:ind w:left="0" w:right="131"/>
      </w:pPr>
      <w:r w:rsidRPr="00455DC8">
        <w:t xml:space="preserve">Dans ces circonstances, le personnel doit dans un premier temps s’efforcer d’obtenir le consentement du mineur à la consultation du ou des titulaires de l’autorité parentale. Si le mineur maintient son opposition, ces professionnels de santé ou ces personnels peuvent mettre en œuvre le dépistage. Dans ce cas, le mineur se fait accompagner d’une personne majeure de son choix. </w:t>
      </w:r>
    </w:p>
    <w:p w14:paraId="2D35786A" w14:textId="77777777" w:rsidR="00455DC8" w:rsidRDefault="00455DC8" w:rsidP="00455DC8">
      <w:pPr>
        <w:pStyle w:val="Corpsdetexte"/>
        <w:ind w:left="0" w:right="131"/>
      </w:pPr>
      <w:r w:rsidRPr="00455DC8">
        <w:t xml:space="preserve">Chez les personnes non francophones qui ne peuvent pas comprendre l’information donnée, le recours à l’interprétariat doit être envisagé conformément aux référentiels publiés en octobre 2017 par la Haute Autorité de santé (HAS) (2). </w:t>
      </w:r>
    </w:p>
    <w:p w14:paraId="2A01D326" w14:textId="77777777" w:rsidR="00C15853" w:rsidRDefault="00C15853">
      <w:pPr>
        <w:pStyle w:val="Corpsdetexte"/>
      </w:pPr>
    </w:p>
    <w:p w14:paraId="7294574B" w14:textId="77777777" w:rsidR="00455DC8" w:rsidRPr="00455DC8" w:rsidRDefault="00455DC8" w:rsidP="00455DC8"/>
    <w:p w14:paraId="520BE8D7" w14:textId="5EF111BE" w:rsidR="00C15853" w:rsidRPr="00CB4E2F" w:rsidRDefault="00CB4E2F" w:rsidP="0006710C">
      <w:pPr>
        <w:pStyle w:val="Titre1"/>
        <w:numPr>
          <w:ilvl w:val="0"/>
          <w:numId w:val="2"/>
        </w:numPr>
        <w:tabs>
          <w:tab w:val="left" w:pos="824"/>
          <w:tab w:val="left" w:pos="942"/>
        </w:tabs>
        <w:spacing w:before="251"/>
        <w:ind w:left="942" w:right="413" w:hanging="524"/>
        <w:jc w:val="center"/>
        <w:rPr>
          <w:b w:val="0"/>
        </w:rPr>
      </w:pPr>
      <w:r w:rsidRPr="00CB4E2F">
        <w:t>Les structures habilitées ou autorisées à réaliser le dépistage par TROD de l’infection par les VIH 1 et 2 ou par le VHC ou par le VHB ou par la bactérie Treponema pallidum (syphilis)</w:t>
      </w:r>
    </w:p>
    <w:p w14:paraId="377133E8" w14:textId="77777777" w:rsidR="00CB4E2F" w:rsidRPr="00CB4E2F" w:rsidRDefault="00CB4E2F" w:rsidP="00CB4E2F">
      <w:pPr>
        <w:pStyle w:val="Titre1"/>
        <w:tabs>
          <w:tab w:val="left" w:pos="824"/>
          <w:tab w:val="left" w:pos="942"/>
        </w:tabs>
        <w:spacing w:before="251"/>
        <w:ind w:left="942" w:right="413"/>
        <w:rPr>
          <w:b w:val="0"/>
        </w:rPr>
      </w:pPr>
    </w:p>
    <w:p w14:paraId="189E6EBC" w14:textId="77777777" w:rsidR="00CB4E2F" w:rsidRDefault="00CB4E2F">
      <w:pPr>
        <w:pStyle w:val="Corpsdetexte"/>
        <w:spacing w:before="249"/>
        <w:ind w:left="0"/>
        <w:jc w:val="left"/>
      </w:pPr>
      <w:r w:rsidRPr="00CB4E2F">
        <w:t xml:space="preserve">3.1. Etablissements ou services médico-sociaux autorisés : </w:t>
      </w:r>
    </w:p>
    <w:p w14:paraId="5AFDDA8B" w14:textId="77777777" w:rsidR="00CB4E2F" w:rsidRDefault="00CB4E2F" w:rsidP="00CB4E2F">
      <w:pPr>
        <w:pStyle w:val="Corpsdetexte"/>
        <w:spacing w:before="249"/>
        <w:ind w:left="0"/>
      </w:pPr>
      <w:r w:rsidRPr="00CB4E2F">
        <w:t xml:space="preserve">Il s’agit d’établissements ou services médico-sociaux, impliqués dans la prévention sanitaire ou la réduction des risques et des dommages associés à la consommation de substances psychoactives, ayant déposé une demande d’autorisation auprès du directeur général de l’agence régionale de santé territorialement compétente pour mettre en œuvre l’offre de dépistage par TROD. </w:t>
      </w:r>
    </w:p>
    <w:p w14:paraId="7B37A933" w14:textId="6F32497F" w:rsidR="00CB4E2F" w:rsidRDefault="00CB4E2F" w:rsidP="00CB4E2F">
      <w:pPr>
        <w:pStyle w:val="Corpsdetexte"/>
        <w:ind w:left="0"/>
      </w:pPr>
      <w:r w:rsidRPr="00CB4E2F">
        <w:t>Ces structures doivent correspondre à la définition du 9o de l’article L.312-1 du Code de l’action sociale et des familles et assurer l’accueil et l’accompagnement de personnes confrontées à des difficultés spécifiques en vue de favoriser l’adaptation à la vie active et l’aide à l’insertion sociale et professionnelle ou d’assurer des prestations de soins et de suivi médical. Il peut s’agir notamment de centres de soins, d’accompagnement et de prévention en addictologie, de centres d’accueil et d’accompagnement à la réduction des risques pour usagers de drogue, de structures dénommées «lits halte soins santé» avec hébergement, de jour ou mobiles, de structures dénommées «lits d’accueil médicalisés», d’appartements de coordination thérapeutique avec hébergement ou hors les murs, de structures dénommées «Un Chez-soi d’abord» généraliste, jeunes et rural, d’équipes spécialisées de soins infirmiers précarité, d’équipe mobile santé précarité.</w:t>
      </w:r>
      <w:r>
        <w:t xml:space="preserve"> </w:t>
      </w:r>
      <w:r w:rsidRPr="00CB4E2F">
        <w:t xml:space="preserve">La demande d’autorisation doit se faire selon les modalités prévues à l’annexe III. </w:t>
      </w:r>
    </w:p>
    <w:p w14:paraId="7A133AEF" w14:textId="57B5F9A9" w:rsidR="00C15853" w:rsidRDefault="00CB4E2F" w:rsidP="00CB4E2F">
      <w:pPr>
        <w:pStyle w:val="Corpsdetexte"/>
        <w:ind w:left="0"/>
      </w:pPr>
      <w:r w:rsidRPr="00CB4E2F">
        <w:lastRenderedPageBreak/>
        <w:t>Seuls les établissements ou services médico-sociaux disposant de cette autorisation peuvent recourir à l’utilisation de ces TROD chez les personnes auprès desquelles ils interviennent.</w:t>
      </w:r>
    </w:p>
    <w:p w14:paraId="6DA1B1E3" w14:textId="77777777" w:rsidR="00CB4E2F" w:rsidRDefault="00CB4E2F">
      <w:pPr>
        <w:pStyle w:val="Corpsdetexte"/>
        <w:spacing w:before="249"/>
        <w:ind w:left="0"/>
        <w:jc w:val="left"/>
      </w:pPr>
    </w:p>
    <w:p w14:paraId="5300B915" w14:textId="62ED81D8" w:rsidR="00CB4E2F" w:rsidRDefault="00CB4E2F" w:rsidP="00CB4E2F">
      <w:pPr>
        <w:pStyle w:val="Titre1"/>
        <w:tabs>
          <w:tab w:val="left" w:pos="570"/>
          <w:tab w:val="left" w:pos="1607"/>
        </w:tabs>
        <w:ind w:right="160"/>
        <w:rPr>
          <w:b w:val="0"/>
          <w:bCs w:val="0"/>
        </w:rPr>
      </w:pPr>
      <w:r w:rsidRPr="00CB4E2F">
        <w:rPr>
          <w:b w:val="0"/>
          <w:bCs w:val="0"/>
        </w:rPr>
        <w:t xml:space="preserve">3.2. Centres et établissements autorisés : </w:t>
      </w:r>
    </w:p>
    <w:p w14:paraId="3A6DD0AD" w14:textId="77777777" w:rsidR="00CB4E2F" w:rsidRPr="00CB4E2F" w:rsidRDefault="00CB4E2F" w:rsidP="00CB4E2F">
      <w:pPr>
        <w:pStyle w:val="Titre1"/>
        <w:tabs>
          <w:tab w:val="left" w:pos="570"/>
          <w:tab w:val="left" w:pos="1607"/>
        </w:tabs>
        <w:ind w:right="160"/>
        <w:rPr>
          <w:b w:val="0"/>
          <w:bCs w:val="0"/>
        </w:rPr>
      </w:pPr>
    </w:p>
    <w:p w14:paraId="7747C9F1" w14:textId="77777777" w:rsidR="00CB4E2F" w:rsidRDefault="00CB4E2F" w:rsidP="00CB4E2F">
      <w:pPr>
        <w:pStyle w:val="Titre1"/>
        <w:tabs>
          <w:tab w:val="left" w:pos="570"/>
          <w:tab w:val="left" w:pos="1607"/>
        </w:tabs>
        <w:ind w:right="160"/>
        <w:rPr>
          <w:b w:val="0"/>
          <w:bCs w:val="0"/>
        </w:rPr>
      </w:pPr>
      <w:r w:rsidRPr="00CB4E2F">
        <w:rPr>
          <w:b w:val="0"/>
          <w:bCs w:val="0"/>
        </w:rPr>
        <w:t xml:space="preserve">Il s’agit de centres de santé sexuelle (CSS) ou d’établissements d’information, de consultation ou de conseil familial (EICCF), ayant déposé une demande d’autorisation auprès du directeur général de l’agence régionale de santé territorialement compétente pour mettre en œuvre l’offre de dépistage par TROD. </w:t>
      </w:r>
    </w:p>
    <w:p w14:paraId="63677F6A" w14:textId="77777777" w:rsidR="00CB4E2F" w:rsidRDefault="00CB4E2F" w:rsidP="00CB4E2F">
      <w:pPr>
        <w:pStyle w:val="Titre1"/>
        <w:tabs>
          <w:tab w:val="left" w:pos="570"/>
          <w:tab w:val="left" w:pos="1607"/>
        </w:tabs>
        <w:ind w:right="160"/>
        <w:rPr>
          <w:b w:val="0"/>
          <w:bCs w:val="0"/>
        </w:rPr>
      </w:pPr>
      <w:r w:rsidRPr="00CB4E2F">
        <w:rPr>
          <w:b w:val="0"/>
          <w:bCs w:val="0"/>
        </w:rPr>
        <w:t xml:space="preserve">La demande d’autorisation doit se faire selon les modalités prévues à l’annexe III. </w:t>
      </w:r>
    </w:p>
    <w:p w14:paraId="70583567" w14:textId="77777777" w:rsidR="00CB4E2F" w:rsidRDefault="00CB4E2F" w:rsidP="00CB4E2F">
      <w:pPr>
        <w:pStyle w:val="Titre1"/>
        <w:tabs>
          <w:tab w:val="left" w:pos="570"/>
          <w:tab w:val="left" w:pos="1607"/>
        </w:tabs>
        <w:ind w:right="160"/>
        <w:rPr>
          <w:b w:val="0"/>
          <w:bCs w:val="0"/>
        </w:rPr>
      </w:pPr>
      <w:r w:rsidRPr="00CB4E2F">
        <w:rPr>
          <w:b w:val="0"/>
          <w:bCs w:val="0"/>
        </w:rPr>
        <w:t xml:space="preserve">Seuls les centres ou établissements disposant de cette autorisation peuvent recourir à l’utilisation de ces TROD chez les personnes auprès desquelles ils interviennent. </w:t>
      </w:r>
    </w:p>
    <w:p w14:paraId="364DB789" w14:textId="77777777" w:rsidR="00CB4E2F" w:rsidRDefault="00CB4E2F" w:rsidP="00CB4E2F">
      <w:pPr>
        <w:pStyle w:val="Corpsdetexte"/>
        <w:ind w:left="0"/>
        <w:rPr>
          <w:rFonts w:ascii="Arial" w:eastAsia="Arial" w:hAnsi="Arial" w:cs="Arial"/>
        </w:rPr>
      </w:pPr>
    </w:p>
    <w:p w14:paraId="11F94C7B" w14:textId="77777777" w:rsidR="00CB4E2F" w:rsidRDefault="00CB4E2F" w:rsidP="00CB4E2F">
      <w:pPr>
        <w:pStyle w:val="Corpsdetexte"/>
        <w:ind w:left="0"/>
        <w:rPr>
          <w:rFonts w:ascii="Arial" w:eastAsia="Arial" w:hAnsi="Arial" w:cs="Arial"/>
        </w:rPr>
      </w:pPr>
      <w:r w:rsidRPr="00CB4E2F">
        <w:rPr>
          <w:rFonts w:ascii="Arial" w:eastAsia="Arial" w:hAnsi="Arial" w:cs="Arial"/>
        </w:rPr>
        <w:t>3.3. Structures associatives habilitées</w:t>
      </w:r>
      <w:r>
        <w:rPr>
          <w:rFonts w:ascii="Arial" w:eastAsia="Arial" w:hAnsi="Arial" w:cs="Arial"/>
        </w:rPr>
        <w:t xml:space="preserve"> </w:t>
      </w:r>
      <w:r w:rsidRPr="00CB4E2F">
        <w:rPr>
          <w:rFonts w:ascii="Arial" w:eastAsia="Arial" w:hAnsi="Arial" w:cs="Arial"/>
        </w:rPr>
        <w:t xml:space="preserve">: </w:t>
      </w:r>
    </w:p>
    <w:p w14:paraId="754F19A5" w14:textId="77777777" w:rsidR="00CB4E2F" w:rsidRDefault="00CB4E2F" w:rsidP="00CB4E2F">
      <w:pPr>
        <w:pStyle w:val="Corpsdetexte"/>
        <w:ind w:left="0"/>
        <w:rPr>
          <w:rFonts w:ascii="Arial" w:eastAsia="Arial" w:hAnsi="Arial" w:cs="Arial"/>
        </w:rPr>
      </w:pPr>
    </w:p>
    <w:p w14:paraId="38DB9139" w14:textId="77777777" w:rsidR="00CB4E2F" w:rsidRDefault="00CB4E2F" w:rsidP="00CB4E2F">
      <w:pPr>
        <w:pStyle w:val="Corpsdetexte"/>
        <w:ind w:left="0"/>
        <w:rPr>
          <w:rFonts w:ascii="Arial" w:eastAsia="Arial" w:hAnsi="Arial" w:cs="Arial"/>
        </w:rPr>
      </w:pPr>
      <w:r w:rsidRPr="00CB4E2F">
        <w:rPr>
          <w:rFonts w:ascii="Arial" w:eastAsia="Arial" w:hAnsi="Arial" w:cs="Arial"/>
        </w:rPr>
        <w:t xml:space="preserve">Il s’agit de structures associatives impliquées dans la prévention sanitaire ou la réduction des risques et des dommages associés à la consommation de substances psychoactives conformément à leur objet statutaire ou social. L’association doit être régulièrement déclarée en préfecture selon la loi du 1er juillet 1901 relative au contrat d’association. </w:t>
      </w:r>
    </w:p>
    <w:p w14:paraId="0C5EF777" w14:textId="77777777" w:rsidR="00CB4E2F" w:rsidRDefault="00CB4E2F" w:rsidP="00CB4E2F">
      <w:pPr>
        <w:pStyle w:val="Corpsdetexte"/>
        <w:ind w:left="0"/>
        <w:rPr>
          <w:rFonts w:ascii="Arial" w:eastAsia="Arial" w:hAnsi="Arial" w:cs="Arial"/>
        </w:rPr>
      </w:pPr>
      <w:r w:rsidRPr="00CB4E2F">
        <w:rPr>
          <w:rFonts w:ascii="Arial" w:eastAsia="Arial" w:hAnsi="Arial" w:cs="Arial"/>
        </w:rPr>
        <w:t xml:space="preserve">Une demande d’habilitation doit être déposée auprès du directeur général de l’agence régionale de santé territorialement compétente selon les modalités prévues par l’annexe II. </w:t>
      </w:r>
    </w:p>
    <w:p w14:paraId="11F18E50" w14:textId="5A4F7344" w:rsidR="0006710C" w:rsidRDefault="00CB4E2F" w:rsidP="0006710C">
      <w:pPr>
        <w:pStyle w:val="Corpsdetexte"/>
        <w:ind w:left="0"/>
        <w:jc w:val="left"/>
        <w:rPr>
          <w:rFonts w:ascii="Arial" w:eastAsia="Arial" w:hAnsi="Arial" w:cs="Arial"/>
        </w:rPr>
      </w:pPr>
      <w:r w:rsidRPr="00CB4E2F">
        <w:rPr>
          <w:rFonts w:ascii="Arial" w:eastAsia="Arial" w:hAnsi="Arial" w:cs="Arial"/>
        </w:rPr>
        <w:t>L’habilitation est délivrée à la personne morale ou à la personne physique responsable de la structure</w:t>
      </w:r>
      <w:r>
        <w:rPr>
          <w:rFonts w:ascii="Arial" w:eastAsia="Arial" w:hAnsi="Arial" w:cs="Arial"/>
        </w:rPr>
        <w:t xml:space="preserve"> </w:t>
      </w:r>
      <w:r w:rsidRPr="00CB4E2F">
        <w:rPr>
          <w:rFonts w:ascii="Arial" w:eastAsia="Arial" w:hAnsi="Arial" w:cs="Arial"/>
        </w:rPr>
        <w:t>associative.</w:t>
      </w:r>
    </w:p>
    <w:p w14:paraId="3FF8FCFB" w14:textId="77777777" w:rsidR="0006710C" w:rsidRDefault="0006710C" w:rsidP="0006710C">
      <w:pPr>
        <w:pStyle w:val="Corpsdetexte"/>
        <w:ind w:left="0"/>
        <w:jc w:val="left"/>
        <w:rPr>
          <w:rFonts w:ascii="Arial" w:eastAsia="Arial" w:hAnsi="Arial" w:cs="Arial"/>
        </w:rPr>
      </w:pPr>
    </w:p>
    <w:p w14:paraId="0A773047" w14:textId="77777777" w:rsidR="0006710C" w:rsidRPr="0006710C" w:rsidRDefault="0006710C" w:rsidP="0006710C">
      <w:pPr>
        <w:pStyle w:val="Corpsdetexte"/>
        <w:ind w:left="0"/>
        <w:jc w:val="left"/>
        <w:rPr>
          <w:rFonts w:ascii="Arial" w:eastAsia="Arial" w:hAnsi="Arial" w:cs="Arial"/>
        </w:rPr>
      </w:pPr>
    </w:p>
    <w:p w14:paraId="5CAD50AF" w14:textId="384F8D6B" w:rsidR="00C15853" w:rsidRDefault="00920A0F" w:rsidP="0006710C">
      <w:pPr>
        <w:pStyle w:val="Titre1"/>
        <w:numPr>
          <w:ilvl w:val="0"/>
          <w:numId w:val="2"/>
        </w:numPr>
        <w:tabs>
          <w:tab w:val="left" w:pos="546"/>
        </w:tabs>
        <w:spacing w:before="71"/>
        <w:ind w:left="546" w:hanging="406"/>
        <w:jc w:val="center"/>
      </w:pPr>
      <w:r>
        <w:t>Personnel</w:t>
      </w:r>
      <w:r>
        <w:rPr>
          <w:spacing w:val="-6"/>
        </w:rPr>
        <w:t xml:space="preserve"> </w:t>
      </w:r>
      <w:r>
        <w:t>exerçant</w:t>
      </w:r>
      <w:r>
        <w:rPr>
          <w:spacing w:val="-6"/>
        </w:rPr>
        <w:t xml:space="preserve"> </w:t>
      </w:r>
      <w:r>
        <w:t>ou</w:t>
      </w:r>
      <w:r>
        <w:rPr>
          <w:spacing w:val="-7"/>
        </w:rPr>
        <w:t xml:space="preserve"> </w:t>
      </w:r>
      <w:r>
        <w:t>intervenant</w:t>
      </w:r>
      <w:r>
        <w:rPr>
          <w:spacing w:val="-3"/>
        </w:rPr>
        <w:t xml:space="preserve"> </w:t>
      </w:r>
      <w:r>
        <w:t>dans</w:t>
      </w:r>
      <w:r>
        <w:rPr>
          <w:spacing w:val="-7"/>
        </w:rPr>
        <w:t xml:space="preserve"> </w:t>
      </w:r>
      <w:r>
        <w:t>ces</w:t>
      </w:r>
      <w:r>
        <w:rPr>
          <w:spacing w:val="-7"/>
        </w:rPr>
        <w:t xml:space="preserve"> </w:t>
      </w:r>
      <w:r>
        <w:t>structures</w:t>
      </w:r>
    </w:p>
    <w:p w14:paraId="7FFD244F" w14:textId="77777777" w:rsidR="00C15853" w:rsidRDefault="00C15853">
      <w:pPr>
        <w:pStyle w:val="Corpsdetexte"/>
        <w:ind w:left="0"/>
        <w:jc w:val="left"/>
        <w:rPr>
          <w:rFonts w:ascii="Arial"/>
          <w:b/>
        </w:rPr>
      </w:pPr>
    </w:p>
    <w:p w14:paraId="2D66E9A1" w14:textId="77777777" w:rsidR="00C15853" w:rsidRDefault="00C15853">
      <w:pPr>
        <w:pStyle w:val="Corpsdetexte"/>
        <w:spacing w:before="4"/>
        <w:ind w:left="0"/>
        <w:jc w:val="left"/>
        <w:rPr>
          <w:rFonts w:ascii="Arial"/>
          <w:b/>
        </w:rPr>
      </w:pPr>
    </w:p>
    <w:p w14:paraId="41130EFD" w14:textId="70C80954" w:rsidR="0006710C" w:rsidRDefault="0006710C" w:rsidP="0006710C">
      <w:pPr>
        <w:pStyle w:val="Paragraphedeliste"/>
        <w:numPr>
          <w:ilvl w:val="1"/>
          <w:numId w:val="3"/>
        </w:numPr>
        <w:tabs>
          <w:tab w:val="left" w:pos="1000"/>
        </w:tabs>
        <w:jc w:val="left"/>
      </w:pPr>
      <w:r w:rsidRPr="0006710C">
        <w:t xml:space="preserve">Dans les structures autorisées ou habilitées, le personnel doit être en nombre suffisant (au moins deux) pour répondre à l’organisation de l’offre de dépistage proposée par la structure, à sa capacité envisagée d’accueil et de réalisation de TROD. </w:t>
      </w:r>
    </w:p>
    <w:p w14:paraId="2F8934E7" w14:textId="77777777" w:rsidR="0006710C" w:rsidRDefault="0006710C" w:rsidP="0006710C">
      <w:pPr>
        <w:pStyle w:val="Paragraphedeliste"/>
        <w:tabs>
          <w:tab w:val="left" w:pos="1000"/>
        </w:tabs>
        <w:ind w:left="360"/>
        <w:jc w:val="left"/>
      </w:pPr>
    </w:p>
    <w:p w14:paraId="3594CA72" w14:textId="4BC9227D" w:rsidR="00C15853" w:rsidRDefault="00920A0F" w:rsidP="0006710C">
      <w:pPr>
        <w:pStyle w:val="Paragraphedeliste"/>
        <w:numPr>
          <w:ilvl w:val="1"/>
          <w:numId w:val="3"/>
        </w:numPr>
        <w:tabs>
          <w:tab w:val="left" w:pos="1000"/>
        </w:tabs>
        <w:jc w:val="left"/>
      </w:pPr>
      <w:r>
        <w:t>Dans ces structures, les personnes pouvant réaliser un dépistage par TROD sont</w:t>
      </w:r>
      <w:r w:rsidR="0006710C">
        <w:t xml:space="preserve"> </w:t>
      </w:r>
      <w:r>
        <w:t>:</w:t>
      </w:r>
    </w:p>
    <w:p w14:paraId="3ACC007B" w14:textId="77777777" w:rsidR="0006710C" w:rsidRPr="0006710C" w:rsidRDefault="00920A0F" w:rsidP="0006710C">
      <w:pPr>
        <w:pStyle w:val="Paragraphedeliste"/>
        <w:numPr>
          <w:ilvl w:val="2"/>
          <w:numId w:val="2"/>
        </w:numPr>
        <w:tabs>
          <w:tab w:val="left" w:pos="729"/>
        </w:tabs>
        <w:spacing w:line="251" w:lineRule="exact"/>
        <w:ind w:left="729" w:right="0" w:hanging="183"/>
      </w:pPr>
      <w:proofErr w:type="gramStart"/>
      <w:r>
        <w:t>les</w:t>
      </w:r>
      <w:proofErr w:type="gramEnd"/>
      <w:r>
        <w:rPr>
          <w:spacing w:val="-6"/>
        </w:rPr>
        <w:t xml:space="preserve"> </w:t>
      </w:r>
      <w:r>
        <w:t>p</w:t>
      </w:r>
      <w:r w:rsidR="0006710C">
        <w:t>rofessionnels de santé</w:t>
      </w:r>
      <w:r>
        <w:rPr>
          <w:spacing w:val="-6"/>
        </w:rPr>
        <w:t xml:space="preserve"> </w:t>
      </w:r>
      <w:r>
        <w:t>médicaux</w:t>
      </w:r>
      <w:r>
        <w:rPr>
          <w:spacing w:val="-7"/>
        </w:rPr>
        <w:t xml:space="preserve"> </w:t>
      </w:r>
      <w:r>
        <w:t>(salariés</w:t>
      </w:r>
      <w:r>
        <w:rPr>
          <w:spacing w:val="-3"/>
        </w:rPr>
        <w:t xml:space="preserve"> </w:t>
      </w:r>
      <w:r>
        <w:t>ou</w:t>
      </w:r>
      <w:r>
        <w:rPr>
          <w:spacing w:val="-4"/>
        </w:rPr>
        <w:t xml:space="preserve"> </w:t>
      </w:r>
      <w:r>
        <w:rPr>
          <w:spacing w:val="-2"/>
        </w:rPr>
        <w:t>bénévoles);</w:t>
      </w:r>
    </w:p>
    <w:p w14:paraId="476312E9" w14:textId="2EFFEC79" w:rsidR="0006710C" w:rsidRDefault="00920A0F" w:rsidP="0006710C">
      <w:pPr>
        <w:pStyle w:val="Paragraphedeliste"/>
        <w:numPr>
          <w:ilvl w:val="2"/>
          <w:numId w:val="2"/>
        </w:numPr>
        <w:tabs>
          <w:tab w:val="left" w:pos="729"/>
        </w:tabs>
        <w:spacing w:line="251" w:lineRule="exact"/>
        <w:ind w:left="729" w:right="0" w:hanging="183"/>
      </w:pPr>
      <w:proofErr w:type="gramStart"/>
      <w:r>
        <w:t>les</w:t>
      </w:r>
      <w:proofErr w:type="gramEnd"/>
      <w:r>
        <w:t xml:space="preserve"> </w:t>
      </w:r>
      <w:r w:rsidR="0006710C">
        <w:t>professionnels de santé</w:t>
      </w:r>
      <w:r>
        <w:t xml:space="preserve"> non médicaux (salariés ou bénévoles) ayant suivi la formation à l’utilisation de ces tests rapides et disposant de l’attestation de suivi de cette formation définie à l’annexe VI.</w:t>
      </w:r>
      <w:r w:rsidR="0006710C">
        <w:t xml:space="preserve"> </w:t>
      </w:r>
    </w:p>
    <w:p w14:paraId="0C8CBA67" w14:textId="43CC3D02" w:rsidR="0006710C" w:rsidRDefault="0006710C" w:rsidP="0006710C">
      <w:pPr>
        <w:pStyle w:val="Paragraphedeliste"/>
        <w:numPr>
          <w:ilvl w:val="2"/>
          <w:numId w:val="2"/>
        </w:numPr>
        <w:tabs>
          <w:tab w:val="left" w:pos="729"/>
        </w:tabs>
        <w:spacing w:line="251" w:lineRule="exact"/>
        <w:ind w:left="729" w:right="0" w:hanging="183"/>
      </w:pPr>
      <w:proofErr w:type="gramStart"/>
      <w:r w:rsidRPr="0006710C">
        <w:t>les</w:t>
      </w:r>
      <w:proofErr w:type="gramEnd"/>
      <w:r w:rsidRPr="0006710C">
        <w:t xml:space="preserve"> personnels non professionnels de santé (salariés ou bénévoles) ayant suivi la formation à l’utilisation de ces tests rapides et disposant de l’attestation de suivi de cette formation définie à l’annexe IV.</w:t>
      </w:r>
    </w:p>
    <w:p w14:paraId="3079CA2B" w14:textId="77777777" w:rsidR="0006710C" w:rsidRDefault="0006710C" w:rsidP="0006710C">
      <w:pPr>
        <w:pStyle w:val="Paragraphedeliste"/>
        <w:tabs>
          <w:tab w:val="left" w:pos="848"/>
        </w:tabs>
        <w:spacing w:before="2"/>
        <w:ind w:left="605" w:right="132"/>
        <w:jc w:val="right"/>
      </w:pPr>
    </w:p>
    <w:p w14:paraId="427DBFF9" w14:textId="73D2D658" w:rsidR="00C15853" w:rsidRDefault="00920A0F" w:rsidP="0006710C">
      <w:pPr>
        <w:pStyle w:val="Paragraphedeliste"/>
        <w:numPr>
          <w:ilvl w:val="1"/>
          <w:numId w:val="3"/>
        </w:numPr>
        <w:tabs>
          <w:tab w:val="left" w:pos="848"/>
        </w:tabs>
        <w:spacing w:before="2"/>
        <w:ind w:right="132"/>
      </w:pPr>
      <w:r>
        <w:t>Le nombre et la qualité des personnes formées pouvant réaliser ces tests rapides au sein des structures figurent</w:t>
      </w:r>
      <w:r w:rsidR="0006710C">
        <w:t xml:space="preserve"> </w:t>
      </w:r>
      <w:r>
        <w:t>:</w:t>
      </w:r>
      <w:r w:rsidR="0006710C">
        <w:t xml:space="preserve"> </w:t>
      </w:r>
    </w:p>
    <w:p w14:paraId="0F7E2FBD" w14:textId="77777777" w:rsidR="0006710C" w:rsidRDefault="0006710C" w:rsidP="0006710C">
      <w:pPr>
        <w:pStyle w:val="Paragraphedeliste"/>
        <w:numPr>
          <w:ilvl w:val="0"/>
          <w:numId w:val="5"/>
        </w:numPr>
        <w:tabs>
          <w:tab w:val="left" w:pos="841"/>
        </w:tabs>
      </w:pPr>
      <w:proofErr w:type="gramStart"/>
      <w:r>
        <w:t>en</w:t>
      </w:r>
      <w:proofErr w:type="gramEnd"/>
      <w:r>
        <w:t xml:space="preserve"> annexe de de la convention d’habilitation pour les structures associatives habilitées. La liste nominative précisant la qualité des personnes formées pouvant réaliser ces tests est annexée à la convention d’habilitation. Le</w:t>
      </w:r>
      <w:r w:rsidRPr="0006710C">
        <w:rPr>
          <w:spacing w:val="-3"/>
        </w:rPr>
        <w:t xml:space="preserve"> </w:t>
      </w:r>
      <w:r>
        <w:t>responsable de la structure</w:t>
      </w:r>
      <w:r w:rsidRPr="0006710C">
        <w:rPr>
          <w:spacing w:val="-3"/>
        </w:rPr>
        <w:t xml:space="preserve"> </w:t>
      </w:r>
      <w:r>
        <w:t>est</w:t>
      </w:r>
      <w:r w:rsidRPr="0006710C">
        <w:rPr>
          <w:spacing w:val="-4"/>
        </w:rPr>
        <w:t xml:space="preserve"> </w:t>
      </w:r>
      <w:r>
        <w:t>tenu d’informer l’ARS territorialement compétente de tout changement intervenant dans cette liste ;</w:t>
      </w:r>
    </w:p>
    <w:p w14:paraId="782666FB" w14:textId="2D8A20FD" w:rsidR="00C15853" w:rsidRDefault="0006710C" w:rsidP="0006710C">
      <w:pPr>
        <w:pStyle w:val="Paragraphedeliste"/>
        <w:numPr>
          <w:ilvl w:val="0"/>
          <w:numId w:val="5"/>
        </w:numPr>
        <w:tabs>
          <w:tab w:val="left" w:pos="841"/>
        </w:tabs>
      </w:pPr>
      <w:proofErr w:type="gramStart"/>
      <w:r w:rsidRPr="0006710C">
        <w:t>en</w:t>
      </w:r>
      <w:proofErr w:type="gramEnd"/>
      <w:r w:rsidRPr="0006710C">
        <w:t xml:space="preserve"> annexe de la demande d’autorisation à la réalisation des TROD pour les établissements et services médico- sociaux définis par le 9o de l’article L. 312-1 du code de l’action sociale et des familles ou pour les centres et</w:t>
      </w:r>
      <w:r>
        <w:t xml:space="preserve"> </w:t>
      </w:r>
      <w:r w:rsidRPr="0006710C">
        <w:t>établissements mentionnés à l’article L. 2311-1 du code de la santé publique. La liste nominative de ces personnes est tenue à disposition de l’agence régionale de santé (ARS). Le responsable de la structure autorisée doit actualiser la liste lors de tout changement intervenant parmi le personnel formé.</w:t>
      </w:r>
    </w:p>
    <w:p w14:paraId="5830386A" w14:textId="77777777" w:rsidR="00633550" w:rsidRDefault="0006710C" w:rsidP="00633550">
      <w:pPr>
        <w:pStyle w:val="Paragraphedeliste"/>
        <w:numPr>
          <w:ilvl w:val="1"/>
          <w:numId w:val="3"/>
        </w:numPr>
        <w:tabs>
          <w:tab w:val="left" w:pos="1064"/>
        </w:tabs>
        <w:spacing w:before="253"/>
        <w:ind w:right="133"/>
      </w:pPr>
      <w:r w:rsidRPr="0006710C">
        <w:lastRenderedPageBreak/>
        <w:t xml:space="preserve">Le responsable de la structure habilitée ou autorisée veille à la mise à jour des compétences de ce personnel en assurant leur formation régulière, notamment au vu des évolutions des recommandations nationales dans le champ des hépatites virales, du VIH et des autres IST. </w:t>
      </w:r>
    </w:p>
    <w:p w14:paraId="699D26D4" w14:textId="5EE6D2C2" w:rsidR="00AB4265" w:rsidRDefault="00920A0F" w:rsidP="00633550">
      <w:pPr>
        <w:pStyle w:val="Paragraphedeliste"/>
        <w:numPr>
          <w:ilvl w:val="1"/>
          <w:numId w:val="3"/>
        </w:numPr>
        <w:tabs>
          <w:tab w:val="left" w:pos="1064"/>
        </w:tabs>
        <w:spacing w:before="253"/>
        <w:ind w:right="133"/>
      </w:pPr>
      <w:r>
        <w:t>Une convention de mise à disposition de personnel peut être conclue par les structures</w:t>
      </w:r>
      <w:r w:rsidRPr="00633550">
        <w:rPr>
          <w:spacing w:val="-2"/>
        </w:rPr>
        <w:t xml:space="preserve"> </w:t>
      </w:r>
      <w:r>
        <w:t>habilitées</w:t>
      </w:r>
      <w:r w:rsidR="00AB4265">
        <w:t xml:space="preserve"> ou autorisées</w:t>
      </w:r>
      <w:r>
        <w:t xml:space="preserve"> (associati</w:t>
      </w:r>
      <w:r w:rsidR="00AB4265">
        <w:t>ve</w:t>
      </w:r>
      <w:r>
        <w:t>s ou institutionnel</w:t>
      </w:r>
      <w:r w:rsidR="00AB4265">
        <w:t>le</w:t>
      </w:r>
      <w:r>
        <w:t xml:space="preserve">s) pour définir les conditions d’intervention des personnels mis à disposition. </w:t>
      </w:r>
    </w:p>
    <w:p w14:paraId="3F464333" w14:textId="6D8367B4" w:rsidR="00C15853" w:rsidRDefault="00920A0F" w:rsidP="00633550">
      <w:pPr>
        <w:tabs>
          <w:tab w:val="left" w:pos="1090"/>
        </w:tabs>
        <w:spacing w:before="252"/>
        <w:jc w:val="both"/>
      </w:pPr>
      <w:r>
        <w:t>La convention de mise à disposition précise l’étendue des obligations de chacun des</w:t>
      </w:r>
      <w:r w:rsidR="00633550">
        <w:t xml:space="preserve"> </w:t>
      </w:r>
      <w:r>
        <w:t>partenaires, la durée de la mise à disposition, les modalités d’intervention des personnes formées et les conditions de responsabilité en cas de dommage survenu à l’occasion de l’activité de TROD.</w:t>
      </w:r>
    </w:p>
    <w:p w14:paraId="04F99ECF" w14:textId="6CD77790" w:rsidR="00C15853" w:rsidRDefault="00920A0F" w:rsidP="00633550">
      <w:pPr>
        <w:pStyle w:val="Corpsdetexte"/>
        <w:ind w:left="0" w:right="131"/>
      </w:pPr>
      <w:r>
        <w:t>La liste nominative des personnes intervenant pour l</w:t>
      </w:r>
      <w:r w:rsidR="00AB4265">
        <w:t>a structure</w:t>
      </w:r>
      <w:r>
        <w:t xml:space="preserve"> habilitée</w:t>
      </w:r>
      <w:r w:rsidR="00AB4265">
        <w:t xml:space="preserve"> ou autorisée</w:t>
      </w:r>
      <w:r>
        <w:t xml:space="preserve"> doit intégrer le personnel mis à disposition si celui-ci pratique des </w:t>
      </w:r>
      <w:r>
        <w:rPr>
          <w:spacing w:val="-2"/>
        </w:rPr>
        <w:t>TROD.</w:t>
      </w:r>
    </w:p>
    <w:p w14:paraId="774E2843" w14:textId="77777777" w:rsidR="00C15853" w:rsidRDefault="00920A0F" w:rsidP="0006710C">
      <w:pPr>
        <w:pStyle w:val="Titre1"/>
        <w:numPr>
          <w:ilvl w:val="0"/>
          <w:numId w:val="3"/>
        </w:numPr>
        <w:tabs>
          <w:tab w:val="left" w:pos="3325"/>
        </w:tabs>
        <w:spacing w:before="251"/>
        <w:ind w:left="3325" w:hanging="405"/>
      </w:pPr>
      <w:r>
        <w:t>Locaux</w:t>
      </w:r>
      <w:r>
        <w:rPr>
          <w:spacing w:val="-4"/>
        </w:rPr>
        <w:t xml:space="preserve"> </w:t>
      </w:r>
      <w:r>
        <w:t>et</w:t>
      </w:r>
      <w:r>
        <w:rPr>
          <w:spacing w:val="-3"/>
        </w:rPr>
        <w:t xml:space="preserve"> </w:t>
      </w:r>
      <w:r>
        <w:t>lieux</w:t>
      </w:r>
      <w:r>
        <w:rPr>
          <w:spacing w:val="-3"/>
        </w:rPr>
        <w:t xml:space="preserve"> </w:t>
      </w:r>
      <w:r>
        <w:rPr>
          <w:spacing w:val="-2"/>
        </w:rPr>
        <w:t>d’intervention</w:t>
      </w:r>
    </w:p>
    <w:p w14:paraId="0C6B93F8" w14:textId="77777777" w:rsidR="00C15853" w:rsidRDefault="00C15853">
      <w:pPr>
        <w:pStyle w:val="Corpsdetexte"/>
        <w:spacing w:before="3"/>
        <w:ind w:left="0"/>
        <w:jc w:val="left"/>
        <w:rPr>
          <w:rFonts w:ascii="Arial"/>
          <w:b/>
        </w:rPr>
      </w:pPr>
    </w:p>
    <w:p w14:paraId="12098972" w14:textId="77777777" w:rsidR="008650F0" w:rsidRDefault="00920A0F" w:rsidP="00633550">
      <w:pPr>
        <w:pStyle w:val="Corpsdetexte"/>
        <w:ind w:left="0" w:right="131"/>
      </w:pPr>
      <w:r>
        <w:t>Les locaux et lieux d’intervention des personnes pouvant réaliser des TROD conformément aux dispositions peuvent</w:t>
      </w:r>
      <w:r>
        <w:rPr>
          <w:spacing w:val="71"/>
          <w:w w:val="150"/>
        </w:rPr>
        <w:t xml:space="preserve"> </w:t>
      </w:r>
      <w:r>
        <w:t>être</w:t>
      </w:r>
      <w:r>
        <w:rPr>
          <w:spacing w:val="68"/>
          <w:w w:val="150"/>
        </w:rPr>
        <w:t xml:space="preserve"> </w:t>
      </w:r>
      <w:r>
        <w:t>fixes</w:t>
      </w:r>
      <w:r>
        <w:rPr>
          <w:spacing w:val="70"/>
          <w:w w:val="150"/>
        </w:rPr>
        <w:t xml:space="preserve"> </w:t>
      </w:r>
      <w:r>
        <w:t>(établissement</w:t>
      </w:r>
      <w:r>
        <w:rPr>
          <w:spacing w:val="72"/>
          <w:w w:val="150"/>
        </w:rPr>
        <w:t xml:space="preserve"> </w:t>
      </w:r>
      <w:r>
        <w:t>ou</w:t>
      </w:r>
      <w:r>
        <w:rPr>
          <w:spacing w:val="69"/>
          <w:w w:val="150"/>
        </w:rPr>
        <w:t xml:space="preserve"> </w:t>
      </w:r>
      <w:r>
        <w:t>service</w:t>
      </w:r>
      <w:r>
        <w:rPr>
          <w:spacing w:val="71"/>
          <w:w w:val="150"/>
        </w:rPr>
        <w:t xml:space="preserve"> </w:t>
      </w:r>
      <w:r>
        <w:t>médico-social,</w:t>
      </w:r>
      <w:r>
        <w:rPr>
          <w:spacing w:val="71"/>
          <w:w w:val="150"/>
        </w:rPr>
        <w:t xml:space="preserve"> </w:t>
      </w:r>
      <w:r>
        <w:rPr>
          <w:spacing w:val="-2"/>
        </w:rPr>
        <w:t>local</w:t>
      </w:r>
      <w:r w:rsidR="008650F0">
        <w:rPr>
          <w:spacing w:val="-2"/>
        </w:rPr>
        <w:t xml:space="preserve"> </w:t>
      </w:r>
      <w:r>
        <w:t xml:space="preserve">associatif, centre de </w:t>
      </w:r>
      <w:r w:rsidR="008650F0">
        <w:t>santé sexuelle</w:t>
      </w:r>
      <w:r>
        <w:t>, établissement d’information,</w:t>
      </w:r>
      <w:r>
        <w:rPr>
          <w:spacing w:val="40"/>
        </w:rPr>
        <w:t xml:space="preserve"> </w:t>
      </w:r>
      <w:r>
        <w:t>de consultation ou de conseil familial, établissement pénitentiaire, lieux de vie (</w:t>
      </w:r>
      <w:r w:rsidR="008650F0">
        <w:t>3</w:t>
      </w:r>
      <w:r>
        <w:t>) et de convivialité des populations ciblées…) ou mobiles (bus, tente, stand itinérant…) mais doivent toujours être organisés, selon leur configuration, de manière à préserver un accueil individualisé et une remise du résultat du TROD dans</w:t>
      </w:r>
      <w:r>
        <w:rPr>
          <w:spacing w:val="-1"/>
        </w:rPr>
        <w:t xml:space="preserve"> </w:t>
      </w:r>
      <w:r>
        <w:t>des</w:t>
      </w:r>
      <w:r>
        <w:rPr>
          <w:spacing w:val="-1"/>
        </w:rPr>
        <w:t xml:space="preserve"> </w:t>
      </w:r>
      <w:r>
        <w:t>conditions</w:t>
      </w:r>
      <w:r>
        <w:rPr>
          <w:spacing w:val="-1"/>
        </w:rPr>
        <w:t xml:space="preserve"> </w:t>
      </w:r>
      <w:r>
        <w:t>garantissant la</w:t>
      </w:r>
      <w:r>
        <w:rPr>
          <w:spacing w:val="-2"/>
        </w:rPr>
        <w:t xml:space="preserve"> </w:t>
      </w:r>
      <w:r>
        <w:t>confidentialité.</w:t>
      </w:r>
      <w:r>
        <w:rPr>
          <w:spacing w:val="-3"/>
        </w:rPr>
        <w:t xml:space="preserve"> </w:t>
      </w:r>
      <w:r>
        <w:t>Ils</w:t>
      </w:r>
      <w:r>
        <w:rPr>
          <w:spacing w:val="-1"/>
        </w:rPr>
        <w:t xml:space="preserve"> </w:t>
      </w:r>
      <w:r>
        <w:t xml:space="preserve">doivent aussi permettre le respect des règles d’hygiène et d’asepsie nécessaires à la réalisation des tests (cf. paragraphe </w:t>
      </w:r>
      <w:r w:rsidR="008650F0">
        <w:t>9</w:t>
      </w:r>
      <w:r>
        <w:t xml:space="preserve"> </w:t>
      </w:r>
      <w:r>
        <w:rPr>
          <w:rFonts w:ascii="Arial" w:hAnsi="Arial"/>
          <w:i/>
        </w:rPr>
        <w:t>infra</w:t>
      </w:r>
      <w:r>
        <w:t xml:space="preserve">). </w:t>
      </w:r>
    </w:p>
    <w:p w14:paraId="4BEEDE74" w14:textId="77777777" w:rsidR="008650F0" w:rsidRDefault="00920A0F" w:rsidP="00633550">
      <w:pPr>
        <w:pStyle w:val="Corpsdetexte"/>
        <w:ind w:left="0" w:right="131"/>
      </w:pPr>
      <w:r>
        <w:t>Quand les interventions dans des lieux mobiles sont réalisées par un médecin, une autorisation doit être demandée au conseil</w:t>
      </w:r>
      <w:r>
        <w:rPr>
          <w:spacing w:val="-1"/>
        </w:rPr>
        <w:t xml:space="preserve"> </w:t>
      </w:r>
      <w:r>
        <w:t xml:space="preserve">départemental de l’ordre des médecins, conformément à l’article R. 4127-74 du code de la santé publique. </w:t>
      </w:r>
    </w:p>
    <w:p w14:paraId="068B77F4" w14:textId="3CAE3162" w:rsidR="00C15853" w:rsidRDefault="00920A0F" w:rsidP="00633550">
      <w:pPr>
        <w:pStyle w:val="Corpsdetexte"/>
        <w:ind w:left="0" w:right="131"/>
      </w:pPr>
      <w:r>
        <w:t xml:space="preserve">L’implantation de la structure habilitée </w:t>
      </w:r>
      <w:r w:rsidR="008650F0">
        <w:t xml:space="preserve">ou autorisée </w:t>
      </w:r>
      <w:r>
        <w:t>peut faire l’objet d’une communication, voire d’une signalisation</w:t>
      </w:r>
      <w:r>
        <w:rPr>
          <w:spacing w:val="40"/>
        </w:rPr>
        <w:t xml:space="preserve"> </w:t>
      </w:r>
      <w:r>
        <w:t>dont l’ARS</w:t>
      </w:r>
      <w:r w:rsidR="00633550">
        <w:t>,</w:t>
      </w:r>
      <w:r>
        <w:t xml:space="preserve"> territorialement compétente</w:t>
      </w:r>
      <w:r w:rsidR="00633550">
        <w:t>,</w:t>
      </w:r>
      <w:r>
        <w:t xml:space="preserve"> est préalablement informée.</w:t>
      </w:r>
    </w:p>
    <w:p w14:paraId="2F857B99" w14:textId="77777777" w:rsidR="00C15853" w:rsidRDefault="00920A0F" w:rsidP="0006710C">
      <w:pPr>
        <w:pStyle w:val="Titre1"/>
        <w:numPr>
          <w:ilvl w:val="0"/>
          <w:numId w:val="3"/>
        </w:numPr>
        <w:tabs>
          <w:tab w:val="left" w:pos="4238"/>
        </w:tabs>
        <w:spacing w:before="252"/>
        <w:ind w:left="4238" w:hanging="246"/>
      </w:pPr>
      <w:r>
        <w:rPr>
          <w:spacing w:val="-2"/>
        </w:rPr>
        <w:t>Confidentialité</w:t>
      </w:r>
    </w:p>
    <w:p w14:paraId="2EE359A6" w14:textId="77777777" w:rsidR="00C15853" w:rsidRDefault="00C15853">
      <w:pPr>
        <w:pStyle w:val="Corpsdetexte"/>
        <w:spacing w:before="2"/>
        <w:ind w:left="0"/>
        <w:jc w:val="left"/>
        <w:rPr>
          <w:rFonts w:ascii="Arial"/>
          <w:b/>
        </w:rPr>
      </w:pPr>
    </w:p>
    <w:p w14:paraId="0C4A0BAA" w14:textId="77777777" w:rsidR="00633550" w:rsidRDefault="00BC024D" w:rsidP="00633550">
      <w:pPr>
        <w:pStyle w:val="Paragraphedeliste"/>
        <w:numPr>
          <w:ilvl w:val="1"/>
          <w:numId w:val="3"/>
        </w:numPr>
        <w:tabs>
          <w:tab w:val="left" w:pos="1038"/>
        </w:tabs>
      </w:pPr>
      <w:r>
        <w:t>La</w:t>
      </w:r>
      <w:r w:rsidRPr="00633550">
        <w:rPr>
          <w:spacing w:val="-1"/>
        </w:rPr>
        <w:t xml:space="preserve"> </w:t>
      </w:r>
      <w:r>
        <w:t>structure habilitée</w:t>
      </w:r>
      <w:r w:rsidRPr="00633550">
        <w:rPr>
          <w:spacing w:val="-1"/>
        </w:rPr>
        <w:t xml:space="preserve"> ou autorisée </w:t>
      </w:r>
      <w:r>
        <w:t xml:space="preserve">peut proposer un accueil anonyme. Dans tous les cas, les échanges avec les intervenants sont strictement confidentiels. </w:t>
      </w:r>
    </w:p>
    <w:p w14:paraId="29FD5349" w14:textId="77777777" w:rsidR="00633550" w:rsidRDefault="00633550" w:rsidP="00633550">
      <w:pPr>
        <w:pStyle w:val="Paragraphedeliste"/>
        <w:tabs>
          <w:tab w:val="left" w:pos="1038"/>
        </w:tabs>
        <w:ind w:left="360"/>
      </w:pPr>
    </w:p>
    <w:p w14:paraId="62F31091" w14:textId="0FAE3A40" w:rsidR="00C15853" w:rsidRDefault="00920A0F" w:rsidP="00633550">
      <w:pPr>
        <w:pStyle w:val="Paragraphedeliste"/>
        <w:numPr>
          <w:ilvl w:val="1"/>
          <w:numId w:val="3"/>
        </w:numPr>
        <w:tabs>
          <w:tab w:val="left" w:pos="1038"/>
        </w:tabs>
      </w:pPr>
      <w:r>
        <w:t xml:space="preserve">Toute information à caractère personnel, a fortiori relative à l’état de santé de la personne testée, recueillie dans ce cadre sur </w:t>
      </w:r>
      <w:proofErr w:type="gramStart"/>
      <w:r>
        <w:t>support papier ou informatique</w:t>
      </w:r>
      <w:proofErr w:type="gramEnd"/>
      <w:r>
        <w:t>, doit être conservée et traitée dans des conditions garantissant la confidentialité des informations et en conformité avec la loi no 78-17 du 6 janvier 1978 relative à l’informatique, aux fichiers et aux libertés.</w:t>
      </w:r>
    </w:p>
    <w:p w14:paraId="2F222877" w14:textId="77777777" w:rsidR="00BC024D" w:rsidRDefault="00BC024D" w:rsidP="00BC024D">
      <w:pPr>
        <w:tabs>
          <w:tab w:val="left" w:pos="1038"/>
        </w:tabs>
      </w:pPr>
    </w:p>
    <w:p w14:paraId="21CF6DA9" w14:textId="050EAA37" w:rsidR="00C15853" w:rsidRDefault="00BC024D" w:rsidP="0006710C">
      <w:pPr>
        <w:pStyle w:val="Titre1"/>
        <w:numPr>
          <w:ilvl w:val="0"/>
          <w:numId w:val="3"/>
        </w:numPr>
        <w:tabs>
          <w:tab w:val="left" w:pos="1488"/>
          <w:tab w:val="left" w:pos="1720"/>
        </w:tabs>
        <w:spacing w:before="250"/>
        <w:ind w:left="1720" w:right="830" w:hanging="478"/>
      </w:pPr>
      <w:r w:rsidRPr="00BC024D">
        <w:t>Règles d’utilisation des dispositifs médicaux de diagnostic in vitro servant au test rapide d’orientation diagnostique</w:t>
      </w:r>
    </w:p>
    <w:p w14:paraId="2DAE9DD9" w14:textId="77777777" w:rsidR="00C15853" w:rsidRDefault="00C15853">
      <w:pPr>
        <w:pStyle w:val="Corpsdetexte"/>
        <w:spacing w:before="2"/>
        <w:ind w:left="0"/>
        <w:jc w:val="left"/>
        <w:rPr>
          <w:rFonts w:ascii="Arial"/>
          <w:b/>
        </w:rPr>
      </w:pPr>
    </w:p>
    <w:p w14:paraId="7C506B03" w14:textId="38D18C2C" w:rsidR="00633550" w:rsidRDefault="00920A0F" w:rsidP="00633550">
      <w:pPr>
        <w:pStyle w:val="Paragraphedeliste"/>
        <w:numPr>
          <w:ilvl w:val="1"/>
          <w:numId w:val="3"/>
        </w:numPr>
        <w:tabs>
          <w:tab w:val="left" w:pos="1019"/>
        </w:tabs>
      </w:pPr>
      <w:r>
        <w:t>Seul est autorisé l’usage de TROD revêtu du marquage</w:t>
      </w:r>
      <w:r w:rsidR="00633550">
        <w:t xml:space="preserve"> </w:t>
      </w:r>
      <w:r>
        <w:t>CE</w:t>
      </w:r>
      <w:r w:rsidR="00BC024D">
        <w:t xml:space="preserve"> utilisés et conservés conformément aux instructions des fabricants (notice d’utilisation).</w:t>
      </w:r>
    </w:p>
    <w:p w14:paraId="08FB30B6" w14:textId="77777777" w:rsidR="00633550" w:rsidRDefault="00633550" w:rsidP="00633550">
      <w:pPr>
        <w:pStyle w:val="Paragraphedeliste"/>
        <w:tabs>
          <w:tab w:val="left" w:pos="1019"/>
        </w:tabs>
        <w:ind w:left="360"/>
      </w:pPr>
    </w:p>
    <w:p w14:paraId="367CB89A" w14:textId="342639CB" w:rsidR="00BC024D" w:rsidRDefault="00BC024D" w:rsidP="00633550">
      <w:pPr>
        <w:pStyle w:val="Paragraphedeliste"/>
        <w:numPr>
          <w:ilvl w:val="1"/>
          <w:numId w:val="3"/>
        </w:numPr>
        <w:tabs>
          <w:tab w:val="left" w:pos="1019"/>
        </w:tabs>
      </w:pPr>
      <w:r w:rsidRPr="00BC024D">
        <w:t xml:space="preserve">Les dispositifs médicaux de diagnostic in vitro font l’objet d’une traçabilité permettant de conserver, sur un document unique, le nom de l’intervenant, le code d’identification unique du dispositif dit «IUD» si disponible, ou, le nom du fabricant, la référence et le numéro de lot ou de série du dispositif utilisé, la date de péremption du test, les coordonnées de la personne pour laquelle il a été utilisé (code identifiant si anonyme, ou prénom, nom patronymique et date de naissance) et le résultat du test. </w:t>
      </w:r>
    </w:p>
    <w:p w14:paraId="6BC6DD31" w14:textId="77777777" w:rsidR="00BC024D" w:rsidRDefault="00BC024D" w:rsidP="00BC024D">
      <w:pPr>
        <w:tabs>
          <w:tab w:val="left" w:pos="995"/>
        </w:tabs>
        <w:spacing w:before="2"/>
      </w:pPr>
    </w:p>
    <w:p w14:paraId="073D1D7C" w14:textId="49C45D0D" w:rsidR="00C15853" w:rsidRDefault="00920A0F" w:rsidP="00633550">
      <w:pPr>
        <w:pStyle w:val="Paragraphedeliste"/>
        <w:numPr>
          <w:ilvl w:val="1"/>
          <w:numId w:val="3"/>
        </w:numPr>
        <w:tabs>
          <w:tab w:val="left" w:pos="1043"/>
        </w:tabs>
      </w:pPr>
      <w:r>
        <w:t>Dans le cadre de la réactovigilance, toute défaillance ou altération du TROD susceptible d’entrainer des effets néfastes pour la santé des personnes doit être</w:t>
      </w:r>
      <w:r w:rsidRPr="00633550">
        <w:rPr>
          <w:spacing w:val="40"/>
        </w:rPr>
        <w:t xml:space="preserve"> </w:t>
      </w:r>
      <w:r>
        <w:t xml:space="preserve">déclarée sans délai à l’Agence nationale de sécurité du médicament et des produits de santé </w:t>
      </w:r>
      <w:r w:rsidR="00BC024D">
        <w:t>(4)</w:t>
      </w:r>
      <w:r>
        <w:t>.</w:t>
      </w:r>
    </w:p>
    <w:p w14:paraId="4EA0D5CB" w14:textId="77777777" w:rsidR="00C15853" w:rsidRDefault="00C15853">
      <w:pPr>
        <w:pStyle w:val="Corpsdetexte"/>
        <w:spacing w:before="250"/>
        <w:ind w:left="0"/>
        <w:jc w:val="left"/>
      </w:pPr>
    </w:p>
    <w:p w14:paraId="0B36ABFC" w14:textId="77777777" w:rsidR="00C15853" w:rsidRDefault="00920A0F" w:rsidP="0006710C">
      <w:pPr>
        <w:pStyle w:val="Titre1"/>
        <w:numPr>
          <w:ilvl w:val="0"/>
          <w:numId w:val="3"/>
        </w:numPr>
        <w:tabs>
          <w:tab w:val="left" w:pos="1614"/>
        </w:tabs>
        <w:ind w:left="1614" w:hanging="367"/>
      </w:pPr>
      <w:r>
        <w:t>L’articulation</w:t>
      </w:r>
      <w:r>
        <w:rPr>
          <w:spacing w:val="-6"/>
        </w:rPr>
        <w:t xml:space="preserve"> </w:t>
      </w:r>
      <w:r>
        <w:t>avec</w:t>
      </w:r>
      <w:r>
        <w:rPr>
          <w:spacing w:val="-3"/>
        </w:rPr>
        <w:t xml:space="preserve"> </w:t>
      </w:r>
      <w:r>
        <w:t>le</w:t>
      </w:r>
      <w:r>
        <w:rPr>
          <w:spacing w:val="-4"/>
        </w:rPr>
        <w:t xml:space="preserve"> </w:t>
      </w:r>
      <w:r>
        <w:t>réseau</w:t>
      </w:r>
      <w:r>
        <w:rPr>
          <w:spacing w:val="-3"/>
        </w:rPr>
        <w:t xml:space="preserve"> </w:t>
      </w:r>
      <w:r>
        <w:t>de</w:t>
      </w:r>
      <w:r>
        <w:rPr>
          <w:spacing w:val="-5"/>
        </w:rPr>
        <w:t xml:space="preserve"> </w:t>
      </w:r>
      <w:r>
        <w:t>prise</w:t>
      </w:r>
      <w:r>
        <w:rPr>
          <w:spacing w:val="-3"/>
        </w:rPr>
        <w:t xml:space="preserve"> </w:t>
      </w:r>
      <w:r>
        <w:t>en</w:t>
      </w:r>
      <w:r>
        <w:rPr>
          <w:spacing w:val="-6"/>
        </w:rPr>
        <w:t xml:space="preserve"> </w:t>
      </w:r>
      <w:r>
        <w:t>charge</w:t>
      </w:r>
      <w:r>
        <w:rPr>
          <w:spacing w:val="-3"/>
        </w:rPr>
        <w:t xml:space="preserve"> </w:t>
      </w:r>
      <w:r>
        <w:t>et</w:t>
      </w:r>
      <w:r>
        <w:rPr>
          <w:spacing w:val="-4"/>
        </w:rPr>
        <w:t xml:space="preserve"> </w:t>
      </w:r>
      <w:r>
        <w:t>les</w:t>
      </w:r>
      <w:r>
        <w:rPr>
          <w:spacing w:val="-5"/>
        </w:rPr>
        <w:t xml:space="preserve"> </w:t>
      </w:r>
      <w:r>
        <w:rPr>
          <w:spacing w:val="-2"/>
        </w:rPr>
        <w:t>partenariats</w:t>
      </w:r>
    </w:p>
    <w:p w14:paraId="4B7090DA" w14:textId="77777777" w:rsidR="00C15853" w:rsidRDefault="00C15853">
      <w:pPr>
        <w:pStyle w:val="Corpsdetexte"/>
        <w:spacing w:before="3"/>
        <w:ind w:left="0"/>
        <w:jc w:val="left"/>
        <w:rPr>
          <w:rFonts w:ascii="Arial"/>
          <w:b/>
        </w:rPr>
      </w:pPr>
    </w:p>
    <w:p w14:paraId="34013B39" w14:textId="6DEE70DB" w:rsidR="00C15853" w:rsidRDefault="00633550" w:rsidP="00633550">
      <w:pPr>
        <w:tabs>
          <w:tab w:val="left" w:pos="1161"/>
        </w:tabs>
      </w:pPr>
      <w:r>
        <w:t xml:space="preserve">8.1 En cas de TROD positif, la personne concernée est systématiquement orientée et, le cas échéant, accompagnée vers un médecin, </w:t>
      </w:r>
      <w:r w:rsidRPr="00633550">
        <w:t>un établissement de santé ou un service de santé en vue de la réalisation d’un examen de biologie médicale de l’infection par un laboratoire de biologie médicale et, si besoin, d’une prise en charge médicale.</w:t>
      </w:r>
    </w:p>
    <w:p w14:paraId="5D79DF3E" w14:textId="77777777" w:rsidR="00633550" w:rsidRDefault="00633550" w:rsidP="00633550"/>
    <w:p w14:paraId="2F87555A" w14:textId="75E223C0" w:rsidR="00633550" w:rsidRDefault="00633550" w:rsidP="00633550">
      <w:r w:rsidRPr="00633550">
        <w:t>Le responsable de la structure autorisé ou habilitée conclut des conventions notamment avec</w:t>
      </w:r>
      <w:r>
        <w:t xml:space="preserve"> </w:t>
      </w:r>
      <w:r w:rsidRPr="00633550">
        <w:t xml:space="preserve">: </w:t>
      </w:r>
    </w:p>
    <w:p w14:paraId="76AD5EC8" w14:textId="3967EC13" w:rsidR="00633550" w:rsidRDefault="00633550" w:rsidP="00633550">
      <w:r w:rsidRPr="00633550">
        <w:t xml:space="preserve">– soit un ou plusieurs établissements de santé en capacité de prendre en charge des personnes séropositives pour le VIH ou le VHC ou le VHB ou la bactérie </w:t>
      </w:r>
      <w:r w:rsidRPr="00633550">
        <w:rPr>
          <w:i/>
          <w:iCs/>
        </w:rPr>
        <w:t>Treponema pallidum</w:t>
      </w:r>
      <w:r w:rsidRPr="00633550">
        <w:t xml:space="preserve">. Cela inclut notamment les permanences d’accès aux soins de santé (PASS) ; </w:t>
      </w:r>
    </w:p>
    <w:p w14:paraId="7C85D8CC" w14:textId="2A396390" w:rsidR="00633550" w:rsidRDefault="00633550" w:rsidP="00633550">
      <w:r w:rsidRPr="00633550">
        <w:t>– soit un ou plusieurs centres gratuits d’information, de dépistage et de diagnostic des infections par les virus de l’immunodéficience humaine, des hépatites virales et des IST (</w:t>
      </w:r>
      <w:proofErr w:type="spellStart"/>
      <w:r w:rsidRPr="00633550">
        <w:t>CeGIDD</w:t>
      </w:r>
      <w:proofErr w:type="spellEnd"/>
      <w:r w:rsidRPr="00633550">
        <w:t>).</w:t>
      </w:r>
    </w:p>
    <w:p w14:paraId="4B39B9DD" w14:textId="77777777" w:rsidR="00633550" w:rsidRDefault="00633550" w:rsidP="00633550"/>
    <w:p w14:paraId="2EF1DE44" w14:textId="77777777" w:rsidR="00633550" w:rsidRDefault="00633550" w:rsidP="00633550">
      <w:r w:rsidRPr="00633550">
        <w:t xml:space="preserve">8.2. L’offre de dépistage proposée par la structure habilitée ou autorisée doit s’inscrire dans le réseau des professionnels de la prévention, du dépistage et du soin des infections concernées ainsi que des associations de malades ou d’usagers du système de santé, tel que coordonné par l’ARS et les structures de coordination du territoire d’implantation de la structure. </w:t>
      </w:r>
    </w:p>
    <w:p w14:paraId="69BE9937" w14:textId="77777777" w:rsidR="00633550" w:rsidRDefault="00633550" w:rsidP="00633550"/>
    <w:p w14:paraId="6DC37201" w14:textId="77777777" w:rsidR="00633550" w:rsidRDefault="00633550" w:rsidP="00633550">
      <w:r w:rsidRPr="00633550">
        <w:t xml:space="preserve">8.3. Dans le cadre de cette coordination, des actions de dépistage peuvent être conduites, dans et hors les murs, par la structure habilitée ou autorisée en partenariat avec des </w:t>
      </w:r>
      <w:proofErr w:type="spellStart"/>
      <w:r w:rsidRPr="00633550">
        <w:t>CeGIDD</w:t>
      </w:r>
      <w:proofErr w:type="spellEnd"/>
      <w:r w:rsidRPr="00633550">
        <w:t xml:space="preserve"> ou des établissements de santé œuvrant sur le même territoire de santé, pour aller au-devant des publics les plus concernés.</w:t>
      </w:r>
    </w:p>
    <w:p w14:paraId="671DFF99" w14:textId="77777777" w:rsidR="00633550" w:rsidRDefault="00633550" w:rsidP="00633550"/>
    <w:p w14:paraId="103CC42D" w14:textId="3B8B91CE" w:rsidR="00C15853" w:rsidRPr="00633550" w:rsidRDefault="00633550" w:rsidP="00633550">
      <w:pPr>
        <w:jc w:val="center"/>
        <w:rPr>
          <w:b/>
          <w:bCs/>
        </w:rPr>
      </w:pPr>
      <w:r w:rsidRPr="00633550">
        <w:rPr>
          <w:b/>
          <w:bCs/>
        </w:rPr>
        <w:t>9. Règles</w:t>
      </w:r>
      <w:r w:rsidRPr="00633550">
        <w:rPr>
          <w:b/>
          <w:bCs/>
          <w:spacing w:val="-7"/>
        </w:rPr>
        <w:t xml:space="preserve"> </w:t>
      </w:r>
      <w:r w:rsidRPr="00633550">
        <w:rPr>
          <w:b/>
          <w:bCs/>
        </w:rPr>
        <w:t>d’hygiène</w:t>
      </w:r>
      <w:r w:rsidRPr="00633550">
        <w:rPr>
          <w:b/>
          <w:bCs/>
          <w:spacing w:val="-5"/>
        </w:rPr>
        <w:t xml:space="preserve"> </w:t>
      </w:r>
      <w:r w:rsidRPr="00633550">
        <w:rPr>
          <w:b/>
          <w:bCs/>
        </w:rPr>
        <w:t>et</w:t>
      </w:r>
      <w:r w:rsidRPr="00633550">
        <w:rPr>
          <w:b/>
          <w:bCs/>
          <w:spacing w:val="-3"/>
        </w:rPr>
        <w:t xml:space="preserve"> </w:t>
      </w:r>
      <w:r w:rsidRPr="00633550">
        <w:rPr>
          <w:b/>
          <w:bCs/>
        </w:rPr>
        <w:t>d’élimination</w:t>
      </w:r>
      <w:r w:rsidRPr="00633550">
        <w:rPr>
          <w:b/>
          <w:bCs/>
          <w:spacing w:val="-7"/>
        </w:rPr>
        <w:t xml:space="preserve"> </w:t>
      </w:r>
      <w:r w:rsidRPr="00633550">
        <w:rPr>
          <w:b/>
          <w:bCs/>
        </w:rPr>
        <w:t>des</w:t>
      </w:r>
      <w:r w:rsidRPr="00633550">
        <w:rPr>
          <w:b/>
          <w:bCs/>
          <w:spacing w:val="-4"/>
        </w:rPr>
        <w:t xml:space="preserve"> </w:t>
      </w:r>
      <w:r w:rsidRPr="00633550">
        <w:rPr>
          <w:b/>
          <w:bCs/>
          <w:spacing w:val="-2"/>
        </w:rPr>
        <w:t>déchets</w:t>
      </w:r>
    </w:p>
    <w:p w14:paraId="063EBA35" w14:textId="77777777" w:rsidR="00C15853" w:rsidRDefault="00C15853">
      <w:pPr>
        <w:pStyle w:val="Corpsdetexte"/>
        <w:spacing w:before="3"/>
        <w:ind w:left="0"/>
        <w:jc w:val="left"/>
        <w:rPr>
          <w:rFonts w:ascii="Arial"/>
          <w:b/>
        </w:rPr>
      </w:pPr>
    </w:p>
    <w:p w14:paraId="2F7A3E26" w14:textId="29D665A1" w:rsidR="00C15853" w:rsidRDefault="00633550" w:rsidP="00633550">
      <w:pPr>
        <w:pStyle w:val="Paragraphedeliste"/>
        <w:numPr>
          <w:ilvl w:val="1"/>
          <w:numId w:val="6"/>
        </w:numPr>
        <w:tabs>
          <w:tab w:val="left" w:pos="1116"/>
        </w:tabs>
      </w:pPr>
      <w:r>
        <w:t>La structure habilitée ou autorisée garantit à chaque personne accueillie les conditions d’hygiène et d’asepsie indispensables au respect de l’environnement et des personnes, notamment un point d’eau et un système d’élimination des déchets.</w:t>
      </w:r>
    </w:p>
    <w:p w14:paraId="7FAF08CC" w14:textId="77777777" w:rsidR="00C15853" w:rsidRDefault="00C15853">
      <w:pPr>
        <w:pStyle w:val="Corpsdetexte"/>
        <w:ind w:left="0"/>
        <w:jc w:val="left"/>
      </w:pPr>
    </w:p>
    <w:p w14:paraId="0066B525" w14:textId="03BDA5A8" w:rsidR="00633550" w:rsidRDefault="00920A0F" w:rsidP="00633550">
      <w:pPr>
        <w:pStyle w:val="Paragraphedeliste"/>
        <w:numPr>
          <w:ilvl w:val="1"/>
          <w:numId w:val="6"/>
        </w:numPr>
        <w:tabs>
          <w:tab w:val="left" w:pos="1203"/>
        </w:tabs>
      </w:pPr>
      <w:r>
        <w:t xml:space="preserve">Les déchets issus de l’activité de dépistage par </w:t>
      </w:r>
      <w:r w:rsidR="00633550">
        <w:t>TROD</w:t>
      </w:r>
      <w:r>
        <w:t xml:space="preserve"> sont considérés</w:t>
      </w:r>
      <w:r w:rsidRPr="00633550">
        <w:rPr>
          <w:spacing w:val="-1"/>
        </w:rPr>
        <w:t xml:space="preserve"> </w:t>
      </w:r>
      <w:r>
        <w:t xml:space="preserve">comme des déchets d’activités de soins à risques infectieux (DASRI) </w:t>
      </w:r>
      <w:r w:rsidR="00633550" w:rsidRPr="00633550">
        <w:t>objets piquants, coupants et tranchants (OPCT) au sens des dispositions de l’article R. 1335-1 du code de la santé publique (CSP).</w:t>
      </w:r>
    </w:p>
    <w:p w14:paraId="708C9F2C" w14:textId="77777777" w:rsidR="00633550" w:rsidRDefault="00633550" w:rsidP="00633550">
      <w:pPr>
        <w:pStyle w:val="Titre1"/>
        <w:numPr>
          <w:ilvl w:val="1"/>
          <w:numId w:val="6"/>
        </w:numPr>
        <w:tabs>
          <w:tab w:val="left" w:pos="3459"/>
        </w:tabs>
        <w:spacing w:before="250"/>
      </w:pPr>
      <w:r w:rsidRPr="00633550">
        <w:rPr>
          <w:rFonts w:ascii="Arial MT" w:eastAsia="Arial MT" w:hAnsi="Arial MT" w:cs="Arial MT"/>
          <w:b w:val="0"/>
          <w:bCs w:val="0"/>
        </w:rPr>
        <w:t xml:space="preserve">Les structures habilitées ou autorisées sont des producteurs de DASRI au sens de l’article R. 1335-2 du CSP et sont tenus à ce titre de les gérer conformément aux dispositions des articles R. 1335-3 à R. 1335-8 du CSP et article L. 541-10 du code de l’environnement, qu’il s’agisse du tri, de l’emballage, de l’entreposage, du transport des déchets et leur élimination. </w:t>
      </w:r>
    </w:p>
    <w:p w14:paraId="2BC64EA7" w14:textId="181B760D" w:rsidR="00633550" w:rsidRPr="00633550" w:rsidRDefault="00633550" w:rsidP="00633550">
      <w:pPr>
        <w:pStyle w:val="Titre1"/>
        <w:tabs>
          <w:tab w:val="left" w:pos="3459"/>
        </w:tabs>
        <w:spacing w:before="250"/>
        <w:ind w:left="360"/>
      </w:pPr>
      <w:r w:rsidRPr="00633550">
        <w:rPr>
          <w:b w:val="0"/>
          <w:bCs w:val="0"/>
        </w:rPr>
        <w:t>Les structures habilitées ou autorisées doivent établir une convention avec une société de collecte ou avec un établissement de santé qui prend en charge l’élimination des DASRI qu’ils produisent. Les dispositions relatives à leur contrôle sont fixées aux articles R. 1335-13 à R. 1335-14 du CSP.</w:t>
      </w:r>
    </w:p>
    <w:p w14:paraId="3F5AB3BC" w14:textId="45701EEF" w:rsidR="00C15853" w:rsidRPr="00FC440C" w:rsidRDefault="00920A0F" w:rsidP="00FC440C">
      <w:pPr>
        <w:pStyle w:val="Titre1"/>
        <w:numPr>
          <w:ilvl w:val="0"/>
          <w:numId w:val="7"/>
        </w:numPr>
        <w:tabs>
          <w:tab w:val="left" w:pos="3459"/>
        </w:tabs>
        <w:spacing w:before="250"/>
        <w:jc w:val="center"/>
      </w:pPr>
      <w:r>
        <w:t>Procédure</w:t>
      </w:r>
      <w:r>
        <w:rPr>
          <w:spacing w:val="-10"/>
        </w:rPr>
        <w:t xml:space="preserve"> </w:t>
      </w:r>
      <w:r>
        <w:t>d’assurance</w:t>
      </w:r>
      <w:r>
        <w:rPr>
          <w:spacing w:val="-9"/>
        </w:rPr>
        <w:t xml:space="preserve"> </w:t>
      </w:r>
      <w:r>
        <w:rPr>
          <w:spacing w:val="-2"/>
        </w:rPr>
        <w:t>qualité</w:t>
      </w:r>
    </w:p>
    <w:p w14:paraId="3E8251C3" w14:textId="77777777" w:rsidR="00FC440C" w:rsidRPr="00FC440C" w:rsidRDefault="00FC440C" w:rsidP="00FC440C">
      <w:pPr>
        <w:pStyle w:val="Titre1"/>
        <w:tabs>
          <w:tab w:val="left" w:pos="3459"/>
        </w:tabs>
        <w:spacing w:before="250"/>
      </w:pPr>
    </w:p>
    <w:p w14:paraId="5FF335CF" w14:textId="77777777"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xml:space="preserve">Le responsable de la structure habilitée ou autorisée, formalise, dans un document écrit, la procédure d’assurance qualité mise en œuvre pour la réalisation du dépistage par TROD. </w:t>
      </w:r>
    </w:p>
    <w:p w14:paraId="7163B54B" w14:textId="44BFB7F2"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xml:space="preserve">Ce document consigne conformément aux recommandations nationales en vigueur : </w:t>
      </w:r>
    </w:p>
    <w:p w14:paraId="55BCE118" w14:textId="2882BAD7"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les modalités de proposition des tests dans des conditions permettant de recueillir un consentement éclairé de la personne concernée, avec recours à l’interprétariat professionnel si nécessaire ;</w:t>
      </w:r>
    </w:p>
    <w:p w14:paraId="024C1FD1" w14:textId="1D2B898F"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xml:space="preserve"> – les modalités de remise individuelle des résultats à la personne concernée, dans des </w:t>
      </w:r>
      <w:r w:rsidRPr="00FC440C">
        <w:rPr>
          <w:rFonts w:ascii="Arial MT" w:eastAsia="Arial MT" w:hAnsi="Arial MT" w:cs="Arial MT"/>
          <w:b w:val="0"/>
          <w:bCs w:val="0"/>
        </w:rPr>
        <w:lastRenderedPageBreak/>
        <w:t xml:space="preserve">conditions garantissant la confidentialité ; </w:t>
      </w:r>
    </w:p>
    <w:p w14:paraId="242EECB7" w14:textId="2C2C75C3"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xml:space="preserve">– les types et les spécifications techniques des TROD retenus pour réaliser le dépistage, ainsi que leurs modalités de conservation ; </w:t>
      </w:r>
    </w:p>
    <w:p w14:paraId="11DED03C" w14:textId="1969DD67"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les modalités de traçabilité des tests réalisés et des résultats remis aux personnes dépistées</w:t>
      </w:r>
      <w:r>
        <w:rPr>
          <w:rFonts w:ascii="Arial MT" w:eastAsia="Arial MT" w:hAnsi="Arial MT" w:cs="Arial MT"/>
          <w:b w:val="0"/>
          <w:bCs w:val="0"/>
        </w:rPr>
        <w:t xml:space="preserve"> </w:t>
      </w:r>
      <w:r w:rsidRPr="00FC440C">
        <w:rPr>
          <w:rFonts w:ascii="Arial MT" w:eastAsia="Arial MT" w:hAnsi="Arial MT" w:cs="Arial MT"/>
          <w:b w:val="0"/>
          <w:bCs w:val="0"/>
        </w:rPr>
        <w:t xml:space="preserve"> </w:t>
      </w:r>
    </w:p>
    <w:p w14:paraId="630A7D3A" w14:textId="75EE5CFA"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xml:space="preserve">– les modalités de prise en charge en cas d’accident d’exposition au sang ; </w:t>
      </w:r>
    </w:p>
    <w:p w14:paraId="6CAA3948" w14:textId="4EF6EAB7"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xml:space="preserve">– la liste des personnes salariées et bénévoles formées en application de l’annexe IV et désignées par le responsable de la structure habilitée ou autorisée comme pouvant pratiquer des TROD, interpréter et remettre leurs résultats ; </w:t>
      </w:r>
    </w:p>
    <w:p w14:paraId="7FE6D932" w14:textId="76D1221B"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xml:space="preserve">– les attestations de suivi de formation de ces personnes ; </w:t>
      </w:r>
    </w:p>
    <w:p w14:paraId="3EA4A43D" w14:textId="6846BBB8"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xml:space="preserve">– les modalités de formation interne ou externe et de mise à jour régulière des compétences du personnel pouvant réaliser ces TROD ; </w:t>
      </w:r>
    </w:p>
    <w:p w14:paraId="4AD8210C" w14:textId="7C9C627F"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les dispositions prévues et les accords partenariaux conclus pour faciliter l’accès à la confirmation des TROD positifs et à la prise en charge des personnes concernées par des services spécialisés des infections concernées</w:t>
      </w:r>
      <w:r>
        <w:rPr>
          <w:rFonts w:ascii="Arial MT" w:eastAsia="Arial MT" w:hAnsi="Arial MT" w:cs="Arial MT"/>
          <w:b w:val="0"/>
          <w:bCs w:val="0"/>
        </w:rPr>
        <w:t xml:space="preserve"> </w:t>
      </w:r>
      <w:r w:rsidRPr="00FC440C">
        <w:rPr>
          <w:rFonts w:ascii="Arial MT" w:eastAsia="Arial MT" w:hAnsi="Arial MT" w:cs="Arial MT"/>
          <w:b w:val="0"/>
          <w:bCs w:val="0"/>
        </w:rPr>
        <w:t xml:space="preserve">; </w:t>
      </w:r>
    </w:p>
    <w:p w14:paraId="0F4A8B01" w14:textId="167BAE7B"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le document permettant le respect des règles d’hygiène et d’asepsie et d’élimination des déchets d’activités de soins à risques infectieux, notamment la convention avec la société de collecte de DASRI ou avec l’établissement de santé qui prend en charge leur élimination</w:t>
      </w:r>
      <w:r>
        <w:rPr>
          <w:rFonts w:ascii="Arial MT" w:eastAsia="Arial MT" w:hAnsi="Arial MT" w:cs="Arial MT"/>
          <w:b w:val="0"/>
          <w:bCs w:val="0"/>
        </w:rPr>
        <w:t xml:space="preserve"> </w:t>
      </w:r>
      <w:r w:rsidRPr="00FC440C">
        <w:rPr>
          <w:rFonts w:ascii="Arial MT" w:eastAsia="Arial MT" w:hAnsi="Arial MT" w:cs="Arial MT"/>
          <w:b w:val="0"/>
          <w:bCs w:val="0"/>
        </w:rPr>
        <w:t xml:space="preserve">; </w:t>
      </w:r>
    </w:p>
    <w:p w14:paraId="1722970C" w14:textId="5E3C2057"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les copies des bordereaux de suivi de l’élimination des DASRI mentionnés dans l’arrêté du 7 septembre 1999 relatif au contrôle des filières d’élimination des déchets d’activités de soins à risques infectieux et assimilés et des pièces anatomiques en cas de production supérieure à 5 kilogrammes par mois</w:t>
      </w:r>
      <w:r>
        <w:rPr>
          <w:rFonts w:ascii="Arial MT" w:eastAsia="Arial MT" w:hAnsi="Arial MT" w:cs="Arial MT"/>
          <w:b w:val="0"/>
          <w:bCs w:val="0"/>
        </w:rPr>
        <w:t xml:space="preserve"> </w:t>
      </w:r>
      <w:r w:rsidRPr="00FC440C">
        <w:rPr>
          <w:rFonts w:ascii="Arial MT" w:eastAsia="Arial MT" w:hAnsi="Arial MT" w:cs="Arial MT"/>
          <w:b w:val="0"/>
          <w:bCs w:val="0"/>
        </w:rPr>
        <w:t xml:space="preserve">; </w:t>
      </w:r>
    </w:p>
    <w:p w14:paraId="7358F0A0" w14:textId="43B18A0A" w:rsidR="00FC440C" w:rsidRDefault="00FC440C" w:rsidP="00FC440C">
      <w:pPr>
        <w:pStyle w:val="Titre1"/>
        <w:tabs>
          <w:tab w:val="left" w:pos="568"/>
          <w:tab w:val="left" w:pos="923"/>
        </w:tabs>
        <w:ind w:left="0" w:right="147"/>
        <w:jc w:val="both"/>
        <w:rPr>
          <w:rFonts w:ascii="Arial MT" w:eastAsia="Arial MT" w:hAnsi="Arial MT" w:cs="Arial MT"/>
          <w:b w:val="0"/>
          <w:bCs w:val="0"/>
        </w:rPr>
      </w:pPr>
      <w:r w:rsidRPr="00FC440C">
        <w:rPr>
          <w:rFonts w:ascii="Arial MT" w:eastAsia="Arial MT" w:hAnsi="Arial MT" w:cs="Arial MT"/>
          <w:b w:val="0"/>
          <w:bCs w:val="0"/>
        </w:rPr>
        <w:t xml:space="preserve">– l’attestation de souscription d’une assurance en responsabilité pour la réalisation des </w:t>
      </w:r>
      <w:proofErr w:type="gramStart"/>
      <w:r w:rsidRPr="00FC440C">
        <w:rPr>
          <w:rFonts w:ascii="Arial MT" w:eastAsia="Arial MT" w:hAnsi="Arial MT" w:cs="Arial MT"/>
          <w:b w:val="0"/>
          <w:bCs w:val="0"/>
        </w:rPr>
        <w:t>TROD;</w:t>
      </w:r>
      <w:proofErr w:type="gramEnd"/>
      <w:r w:rsidRPr="00FC440C">
        <w:rPr>
          <w:rFonts w:ascii="Arial MT" w:eastAsia="Arial MT" w:hAnsi="Arial MT" w:cs="Arial MT"/>
          <w:b w:val="0"/>
          <w:bCs w:val="0"/>
        </w:rPr>
        <w:t xml:space="preserve"> </w:t>
      </w:r>
    </w:p>
    <w:p w14:paraId="7C8906E1" w14:textId="25095D9C" w:rsidR="00FC440C" w:rsidRPr="00FC440C" w:rsidRDefault="00FC440C" w:rsidP="00FC440C">
      <w:pPr>
        <w:pStyle w:val="Titre1"/>
        <w:tabs>
          <w:tab w:val="left" w:pos="568"/>
          <w:tab w:val="left" w:pos="923"/>
        </w:tabs>
        <w:ind w:left="0" w:right="147"/>
        <w:jc w:val="both"/>
      </w:pPr>
      <w:r w:rsidRPr="00FC440C">
        <w:rPr>
          <w:rFonts w:ascii="Arial MT" w:eastAsia="Arial MT" w:hAnsi="Arial MT" w:cs="Arial MT"/>
          <w:b w:val="0"/>
          <w:bCs w:val="0"/>
        </w:rPr>
        <w:t xml:space="preserve">– les modalités de traitement des incidents de réactovigilance. </w:t>
      </w:r>
    </w:p>
    <w:p w14:paraId="23EF15F7" w14:textId="06C69506" w:rsidR="00C15853" w:rsidRDefault="00920A0F" w:rsidP="00FC440C">
      <w:pPr>
        <w:pStyle w:val="Titre1"/>
        <w:numPr>
          <w:ilvl w:val="0"/>
          <w:numId w:val="7"/>
        </w:numPr>
        <w:tabs>
          <w:tab w:val="left" w:pos="568"/>
          <w:tab w:val="left" w:pos="923"/>
        </w:tabs>
        <w:spacing w:before="250"/>
        <w:ind w:right="147"/>
        <w:jc w:val="center"/>
        <w:rPr>
          <w:b w:val="0"/>
        </w:rPr>
      </w:pPr>
      <w:r>
        <w:t xml:space="preserve">Bilan de l’activité de réalisation des </w:t>
      </w:r>
      <w:r w:rsidR="00FC440C">
        <w:t>TROD par</w:t>
      </w:r>
      <w:r>
        <w:rPr>
          <w:spacing w:val="-6"/>
        </w:rPr>
        <w:t xml:space="preserve"> </w:t>
      </w:r>
      <w:r>
        <w:t>la</w:t>
      </w:r>
      <w:r>
        <w:rPr>
          <w:spacing w:val="-5"/>
        </w:rPr>
        <w:t xml:space="preserve"> </w:t>
      </w:r>
      <w:r>
        <w:t>structure</w:t>
      </w:r>
      <w:r>
        <w:rPr>
          <w:spacing w:val="-6"/>
        </w:rPr>
        <w:t xml:space="preserve"> </w:t>
      </w:r>
      <w:r>
        <w:rPr>
          <w:spacing w:val="-2"/>
        </w:rPr>
        <w:t>habilitée</w:t>
      </w:r>
      <w:r w:rsidR="00FC440C">
        <w:rPr>
          <w:spacing w:val="-2"/>
        </w:rPr>
        <w:t xml:space="preserve"> ou autorisée</w:t>
      </w:r>
    </w:p>
    <w:p w14:paraId="262A77FA" w14:textId="77777777" w:rsidR="00C15853" w:rsidRDefault="00C15853">
      <w:pPr>
        <w:pStyle w:val="Corpsdetexte"/>
        <w:ind w:left="0"/>
        <w:jc w:val="left"/>
        <w:rPr>
          <w:rFonts w:ascii="Arial"/>
          <w:b/>
        </w:rPr>
      </w:pPr>
    </w:p>
    <w:p w14:paraId="7BAA45D6" w14:textId="77777777" w:rsidR="00FC440C" w:rsidRDefault="00FC440C" w:rsidP="00FC440C">
      <w:pPr>
        <w:pStyle w:val="Corpsdetexte"/>
        <w:ind w:left="0" w:right="131"/>
      </w:pPr>
      <w:r w:rsidRPr="00FC440C">
        <w:t xml:space="preserve">Le responsable de la structure habilitée ou autorisée adresse au plus tard le 31 mars de chaque année, au directeur général de l’agence régionale de santé territorialement compétente, un bilan de cette activité au cours de l’année écoulée. </w:t>
      </w:r>
    </w:p>
    <w:p w14:paraId="23992E6F" w14:textId="0EC5EC1C" w:rsidR="00FC440C" w:rsidRDefault="00FC440C" w:rsidP="00FC440C">
      <w:pPr>
        <w:pStyle w:val="Corpsdetexte"/>
        <w:ind w:left="0" w:right="131"/>
      </w:pPr>
      <w:r w:rsidRPr="00FC440C">
        <w:t xml:space="preserve">Pour les services et établissements médico-sociaux définis par le 9o de l’article L. 312-1 du code de l’action sociale et des familles et les centres et établissements mentionnés à l’article L. 2311-1 du code de la santé publique ou pour les structures associatives, le bilan annuel d’activité présente notamment : </w:t>
      </w:r>
    </w:p>
    <w:p w14:paraId="3DDAFB22" w14:textId="63A1A0CA" w:rsidR="00FC440C" w:rsidRDefault="00FC440C" w:rsidP="00FC440C">
      <w:pPr>
        <w:pStyle w:val="Corpsdetexte"/>
        <w:ind w:left="0" w:right="131"/>
      </w:pPr>
      <w:r w:rsidRPr="00FC440C">
        <w:t>– le nombre de personnes dédiées à l’activité (professionnels de santé et non professionnels de santé)</w:t>
      </w:r>
      <w:r>
        <w:t xml:space="preserve"> </w:t>
      </w:r>
      <w:r w:rsidRPr="00FC440C">
        <w:t>;</w:t>
      </w:r>
    </w:p>
    <w:p w14:paraId="530D27A8" w14:textId="3AB72D60" w:rsidR="00FC440C" w:rsidRDefault="00FC440C" w:rsidP="00FC440C">
      <w:pPr>
        <w:pStyle w:val="Corpsdetexte"/>
        <w:ind w:left="0" w:right="131"/>
      </w:pPr>
      <w:r w:rsidRPr="00FC440C">
        <w:t>– le nombre total de TROD de chaque catégorie</w:t>
      </w:r>
      <w:r>
        <w:t>,</w:t>
      </w:r>
      <w:r w:rsidRPr="00FC440C">
        <w:t xml:space="preserve"> réalisés et leur répartition selon les publics ; </w:t>
      </w:r>
    </w:p>
    <w:p w14:paraId="1CC1FC8A" w14:textId="20549172" w:rsidR="00FC440C" w:rsidRDefault="00FC440C" w:rsidP="00FC440C">
      <w:pPr>
        <w:pStyle w:val="Corpsdetexte"/>
        <w:ind w:left="0" w:right="131"/>
      </w:pPr>
      <w:r w:rsidRPr="00FC440C">
        <w:t>– les antécédents de recours au dépistage chez les personnes testées</w:t>
      </w:r>
      <w:r>
        <w:t xml:space="preserve"> </w:t>
      </w:r>
      <w:r w:rsidRPr="00FC440C">
        <w:t xml:space="preserve">; </w:t>
      </w:r>
    </w:p>
    <w:p w14:paraId="3AC022F0" w14:textId="675C8686" w:rsidR="00FC440C" w:rsidRDefault="00FC440C" w:rsidP="00FC440C">
      <w:pPr>
        <w:pStyle w:val="Corpsdetexte"/>
        <w:ind w:left="0" w:right="131"/>
      </w:pPr>
      <w:r w:rsidRPr="00FC440C">
        <w:t>– les nombres de TROD positifs de chaque catégorie, dont les nombres de TROD positifs de chaque catégorie</w:t>
      </w:r>
      <w:r>
        <w:t>,</w:t>
      </w:r>
      <w:r w:rsidRPr="00FC440C">
        <w:t xml:space="preserve"> confirmés par les examens de biologie classiques ; </w:t>
      </w:r>
    </w:p>
    <w:p w14:paraId="46498417" w14:textId="5901F27A" w:rsidR="00C15853" w:rsidRDefault="00FC440C" w:rsidP="00FC440C">
      <w:pPr>
        <w:pStyle w:val="Corpsdetexte"/>
        <w:ind w:left="0" w:right="131"/>
      </w:pPr>
      <w:r w:rsidRPr="00FC440C">
        <w:t>– le nombre de personnes ayant un TROD positif de chaque catégorie et une prise en charge de leur infection dans les 3 mois suivant la date du TROD positif.</w:t>
      </w:r>
    </w:p>
    <w:p w14:paraId="41018504" w14:textId="77777777" w:rsidR="00F050CD" w:rsidRPr="00F050CD" w:rsidRDefault="00F050CD" w:rsidP="00F050CD"/>
    <w:p w14:paraId="50447BE1" w14:textId="77777777" w:rsidR="00F050CD" w:rsidRPr="00F050CD" w:rsidRDefault="00F050CD" w:rsidP="00F050CD"/>
    <w:p w14:paraId="79E0514D" w14:textId="77777777" w:rsidR="00F050CD" w:rsidRDefault="00F050CD" w:rsidP="00F050CD">
      <w:pPr>
        <w:rPr>
          <w:sz w:val="18"/>
          <w:szCs w:val="18"/>
        </w:rPr>
      </w:pPr>
    </w:p>
    <w:p w14:paraId="142F3AB4" w14:textId="77777777" w:rsidR="00F050CD" w:rsidRDefault="00F050CD" w:rsidP="00F050CD">
      <w:pPr>
        <w:rPr>
          <w:sz w:val="18"/>
          <w:szCs w:val="18"/>
        </w:rPr>
      </w:pPr>
    </w:p>
    <w:p w14:paraId="58C3FF4B" w14:textId="77777777" w:rsidR="00F050CD" w:rsidRDefault="00F050CD" w:rsidP="00F050CD">
      <w:pPr>
        <w:rPr>
          <w:sz w:val="18"/>
          <w:szCs w:val="18"/>
        </w:rPr>
      </w:pPr>
    </w:p>
    <w:p w14:paraId="2F071125" w14:textId="77777777" w:rsidR="00F050CD" w:rsidRDefault="00F050CD" w:rsidP="00F050CD">
      <w:pPr>
        <w:rPr>
          <w:sz w:val="18"/>
          <w:szCs w:val="18"/>
        </w:rPr>
      </w:pPr>
    </w:p>
    <w:p w14:paraId="2250FF47" w14:textId="77777777" w:rsidR="002B656E" w:rsidRDefault="002B656E" w:rsidP="00F050CD">
      <w:pPr>
        <w:rPr>
          <w:sz w:val="18"/>
          <w:szCs w:val="18"/>
        </w:rPr>
      </w:pPr>
    </w:p>
    <w:p w14:paraId="6DA97D6F" w14:textId="77777777" w:rsidR="002B656E" w:rsidRDefault="002B656E" w:rsidP="00F050CD">
      <w:pPr>
        <w:rPr>
          <w:sz w:val="18"/>
          <w:szCs w:val="18"/>
        </w:rPr>
      </w:pPr>
    </w:p>
    <w:p w14:paraId="59B48722" w14:textId="77777777" w:rsidR="002B656E" w:rsidRDefault="002B656E" w:rsidP="00F050CD">
      <w:pPr>
        <w:rPr>
          <w:sz w:val="18"/>
          <w:szCs w:val="18"/>
        </w:rPr>
      </w:pPr>
    </w:p>
    <w:p w14:paraId="0BAB9E6E" w14:textId="77777777" w:rsidR="002B656E" w:rsidRDefault="002B656E" w:rsidP="00F050CD">
      <w:pPr>
        <w:rPr>
          <w:sz w:val="18"/>
          <w:szCs w:val="18"/>
        </w:rPr>
      </w:pPr>
    </w:p>
    <w:p w14:paraId="0B0AE4DC" w14:textId="77777777" w:rsidR="002B656E" w:rsidRDefault="002B656E" w:rsidP="00F050CD">
      <w:pPr>
        <w:rPr>
          <w:sz w:val="18"/>
          <w:szCs w:val="18"/>
        </w:rPr>
      </w:pPr>
    </w:p>
    <w:p w14:paraId="15AB2A12" w14:textId="77777777" w:rsidR="002B656E" w:rsidRDefault="002B656E" w:rsidP="00F050CD">
      <w:pPr>
        <w:rPr>
          <w:sz w:val="18"/>
          <w:szCs w:val="18"/>
        </w:rPr>
      </w:pPr>
    </w:p>
    <w:p w14:paraId="73FB0769" w14:textId="77777777" w:rsidR="002B656E" w:rsidRPr="00F050CD" w:rsidRDefault="002B656E" w:rsidP="00F050CD">
      <w:pPr>
        <w:rPr>
          <w:sz w:val="18"/>
          <w:szCs w:val="18"/>
        </w:rPr>
      </w:pPr>
    </w:p>
    <w:p w14:paraId="50DD9DB2" w14:textId="77777777" w:rsidR="00F050CD" w:rsidRPr="00F050CD" w:rsidRDefault="00F050CD" w:rsidP="00F050CD">
      <w:pPr>
        <w:rPr>
          <w:sz w:val="18"/>
          <w:szCs w:val="18"/>
        </w:rPr>
      </w:pPr>
      <w:r w:rsidRPr="00F050CD">
        <w:rPr>
          <w:sz w:val="18"/>
          <w:szCs w:val="18"/>
        </w:rPr>
        <w:t xml:space="preserve">(1) Article L. 6211-3-1 du code de la santé publique. </w:t>
      </w:r>
    </w:p>
    <w:p w14:paraId="409CF1B8" w14:textId="1ABC9CF2" w:rsidR="00F050CD" w:rsidRPr="00F050CD" w:rsidRDefault="00F050CD" w:rsidP="00F050CD">
      <w:pPr>
        <w:rPr>
          <w:sz w:val="18"/>
          <w:szCs w:val="18"/>
        </w:rPr>
      </w:pPr>
      <w:r w:rsidRPr="00F050CD">
        <w:rPr>
          <w:sz w:val="18"/>
          <w:szCs w:val="18"/>
        </w:rPr>
        <w:t xml:space="preserve">(2) Haute Autorité de santé, Recommandation en santé publique, octobre 2017, [https://www.has-sante. </w:t>
      </w:r>
      <w:proofErr w:type="gramStart"/>
      <w:r w:rsidRPr="00F050CD">
        <w:rPr>
          <w:sz w:val="18"/>
          <w:szCs w:val="18"/>
        </w:rPr>
        <w:t>fr</w:t>
      </w:r>
      <w:proofErr w:type="gramEnd"/>
      <w:r w:rsidRPr="00F050CD">
        <w:rPr>
          <w:sz w:val="18"/>
          <w:szCs w:val="18"/>
        </w:rPr>
        <w:t xml:space="preserve">/jcms/c_2746031/fr/interpretariat-linguistique-dans-le-domaine-de-la-sante]. </w:t>
      </w:r>
    </w:p>
    <w:p w14:paraId="5EE538B0" w14:textId="55937386" w:rsidR="00F050CD" w:rsidRPr="00F050CD" w:rsidRDefault="00F050CD" w:rsidP="00F050CD">
      <w:pPr>
        <w:rPr>
          <w:sz w:val="18"/>
          <w:szCs w:val="18"/>
        </w:rPr>
      </w:pPr>
      <w:r w:rsidRPr="00F050CD">
        <w:rPr>
          <w:sz w:val="18"/>
          <w:szCs w:val="18"/>
        </w:rPr>
        <w:t xml:space="preserve">(3) Ex : les centres d’accueil de demandeurs d’asile (CADA). </w:t>
      </w:r>
    </w:p>
    <w:p w14:paraId="7DD9BB52" w14:textId="5FF1EB85" w:rsidR="00F050CD" w:rsidRPr="00F050CD" w:rsidRDefault="00F050CD" w:rsidP="00F050CD">
      <w:pPr>
        <w:rPr>
          <w:sz w:val="18"/>
          <w:szCs w:val="18"/>
        </w:rPr>
      </w:pPr>
      <w:r w:rsidRPr="00F050CD">
        <w:rPr>
          <w:sz w:val="18"/>
          <w:szCs w:val="18"/>
        </w:rPr>
        <w:t>(4) La déclaration à l’ANSM doit se faire par le site internet permettant de signaler des évènements sanitaires indésirables mentionné à l’article D. 1413-58 du code de la santé publique.</w:t>
      </w:r>
    </w:p>
    <w:sectPr w:rsidR="00F050CD" w:rsidRPr="00F050CD">
      <w:footerReference w:type="default" r:id="rId7"/>
      <w:pgSz w:w="11900" w:h="16840"/>
      <w:pgMar w:top="1340" w:right="1275" w:bottom="940" w:left="1275"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5712" w14:textId="77777777" w:rsidR="000B4815" w:rsidRDefault="000B4815">
      <w:r>
        <w:separator/>
      </w:r>
    </w:p>
  </w:endnote>
  <w:endnote w:type="continuationSeparator" w:id="0">
    <w:p w14:paraId="061909BE" w14:textId="77777777" w:rsidR="000B4815" w:rsidRDefault="000B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D1A7" w14:textId="77777777" w:rsidR="00C15853" w:rsidRDefault="00920A0F">
    <w:pPr>
      <w:pStyle w:val="Corpsdetexte"/>
      <w:spacing w:line="14" w:lineRule="auto"/>
      <w:ind w:left="0"/>
      <w:jc w:val="left"/>
      <w:rPr>
        <w:sz w:val="20"/>
      </w:rPr>
    </w:pPr>
    <w:r>
      <w:rPr>
        <w:noProof/>
        <w:sz w:val="20"/>
      </w:rPr>
      <mc:AlternateContent>
        <mc:Choice Requires="wps">
          <w:drawing>
            <wp:anchor distT="0" distB="0" distL="0" distR="0" simplePos="0" relativeHeight="251668480" behindDoc="1" locked="0" layoutInCell="1" allowOverlap="1" wp14:anchorId="7D868178" wp14:editId="2C21E34A">
              <wp:simplePos x="0" y="0"/>
              <wp:positionH relativeFrom="page">
                <wp:posOffset>886459</wp:posOffset>
              </wp:positionH>
              <wp:positionV relativeFrom="page">
                <wp:posOffset>10076705</wp:posOffset>
              </wp:positionV>
              <wp:extent cx="3724910" cy="3746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910" cy="374650"/>
                      </a:xfrm>
                      <a:prstGeom prst="rect">
                        <a:avLst/>
                      </a:prstGeom>
                    </wps:spPr>
                    <wps:txbx>
                      <w:txbxContent>
                        <w:p w14:paraId="45024CB3" w14:textId="77777777" w:rsidR="00C15853" w:rsidRDefault="00920A0F">
                          <w:pPr>
                            <w:spacing w:before="15"/>
                            <w:ind w:left="20"/>
                            <w:rPr>
                              <w:sz w:val="16"/>
                            </w:rPr>
                          </w:pPr>
                          <w:r>
                            <w:rPr>
                              <w:sz w:val="16"/>
                            </w:rPr>
                            <w:t>ARS</w:t>
                          </w:r>
                          <w:r>
                            <w:rPr>
                              <w:spacing w:val="-3"/>
                              <w:sz w:val="16"/>
                            </w:rPr>
                            <w:t xml:space="preserve"> </w:t>
                          </w:r>
                          <w:r>
                            <w:rPr>
                              <w:sz w:val="16"/>
                            </w:rPr>
                            <w:t>Centre-Val</w:t>
                          </w:r>
                          <w:r>
                            <w:rPr>
                              <w:spacing w:val="-3"/>
                              <w:sz w:val="16"/>
                            </w:rPr>
                            <w:t xml:space="preserve"> </w:t>
                          </w:r>
                          <w:r>
                            <w:rPr>
                              <w:sz w:val="16"/>
                            </w:rPr>
                            <w:t>de</w:t>
                          </w:r>
                          <w:r>
                            <w:rPr>
                              <w:spacing w:val="-5"/>
                              <w:sz w:val="16"/>
                            </w:rPr>
                            <w:t xml:space="preserve"> </w:t>
                          </w:r>
                          <w:r>
                            <w:rPr>
                              <w:spacing w:val="-4"/>
                              <w:sz w:val="16"/>
                            </w:rPr>
                            <w:t>Loire</w:t>
                          </w:r>
                        </w:p>
                        <w:p w14:paraId="04453B88" w14:textId="77777777" w:rsidR="00C15853" w:rsidRDefault="00920A0F">
                          <w:pPr>
                            <w:spacing w:before="1"/>
                            <w:ind w:left="20"/>
                            <w:rPr>
                              <w:sz w:val="16"/>
                            </w:rPr>
                          </w:pPr>
                          <w:r>
                            <w:rPr>
                              <w:sz w:val="16"/>
                            </w:rPr>
                            <w:t>Cité</w:t>
                          </w:r>
                          <w:r>
                            <w:rPr>
                              <w:spacing w:val="-2"/>
                              <w:sz w:val="16"/>
                            </w:rPr>
                            <w:t xml:space="preserve"> </w:t>
                          </w:r>
                          <w:r>
                            <w:rPr>
                              <w:sz w:val="16"/>
                            </w:rPr>
                            <w:t>Coligny</w:t>
                          </w:r>
                          <w:r>
                            <w:rPr>
                              <w:spacing w:val="-3"/>
                              <w:sz w:val="16"/>
                            </w:rPr>
                            <w:t xml:space="preserve"> </w:t>
                          </w:r>
                          <w:r>
                            <w:rPr>
                              <w:sz w:val="16"/>
                            </w:rPr>
                            <w:t>–</w:t>
                          </w:r>
                          <w:r>
                            <w:rPr>
                              <w:spacing w:val="-2"/>
                              <w:sz w:val="16"/>
                            </w:rPr>
                            <w:t xml:space="preserve"> </w:t>
                          </w:r>
                          <w:r>
                            <w:rPr>
                              <w:sz w:val="16"/>
                            </w:rPr>
                            <w:t>131</w:t>
                          </w:r>
                          <w:r>
                            <w:rPr>
                              <w:spacing w:val="-4"/>
                              <w:sz w:val="16"/>
                            </w:rPr>
                            <w:t xml:space="preserve"> </w:t>
                          </w:r>
                          <w:r>
                            <w:rPr>
                              <w:sz w:val="16"/>
                            </w:rPr>
                            <w:t>rue</w:t>
                          </w:r>
                          <w:r>
                            <w:rPr>
                              <w:spacing w:val="-2"/>
                              <w:sz w:val="16"/>
                            </w:rPr>
                            <w:t xml:space="preserve"> </w:t>
                          </w:r>
                          <w:r>
                            <w:rPr>
                              <w:sz w:val="16"/>
                            </w:rPr>
                            <w:t>du</w:t>
                          </w:r>
                          <w:r>
                            <w:rPr>
                              <w:spacing w:val="-4"/>
                              <w:sz w:val="16"/>
                            </w:rPr>
                            <w:t xml:space="preserve"> </w:t>
                          </w:r>
                          <w:r>
                            <w:rPr>
                              <w:sz w:val="16"/>
                            </w:rPr>
                            <w:t>faubourg</w:t>
                          </w:r>
                          <w:r>
                            <w:rPr>
                              <w:spacing w:val="-2"/>
                              <w:sz w:val="16"/>
                            </w:rPr>
                            <w:t xml:space="preserve"> </w:t>
                          </w:r>
                          <w:proofErr w:type="spellStart"/>
                          <w:r>
                            <w:rPr>
                              <w:sz w:val="16"/>
                            </w:rPr>
                            <w:t>Bannier</w:t>
                          </w:r>
                          <w:proofErr w:type="spellEnd"/>
                          <w:r>
                            <w:rPr>
                              <w:spacing w:val="-2"/>
                              <w:sz w:val="16"/>
                            </w:rPr>
                            <w:t xml:space="preserve"> </w:t>
                          </w:r>
                          <w:r>
                            <w:rPr>
                              <w:sz w:val="16"/>
                            </w:rPr>
                            <w:t>–</w:t>
                          </w:r>
                          <w:r>
                            <w:rPr>
                              <w:spacing w:val="-4"/>
                              <w:sz w:val="16"/>
                            </w:rPr>
                            <w:t xml:space="preserve"> </w:t>
                          </w:r>
                          <w:r>
                            <w:rPr>
                              <w:sz w:val="16"/>
                            </w:rPr>
                            <w:t>BP</w:t>
                          </w:r>
                          <w:r>
                            <w:rPr>
                              <w:spacing w:val="-2"/>
                              <w:sz w:val="16"/>
                            </w:rPr>
                            <w:t xml:space="preserve"> </w:t>
                          </w:r>
                          <w:r>
                            <w:rPr>
                              <w:sz w:val="16"/>
                            </w:rPr>
                            <w:t>74409</w:t>
                          </w:r>
                          <w:r>
                            <w:rPr>
                              <w:spacing w:val="-2"/>
                              <w:sz w:val="16"/>
                            </w:rPr>
                            <w:t xml:space="preserve"> </w:t>
                          </w:r>
                          <w:r>
                            <w:rPr>
                              <w:sz w:val="16"/>
                            </w:rPr>
                            <w:t>–</w:t>
                          </w:r>
                          <w:r>
                            <w:rPr>
                              <w:spacing w:val="-2"/>
                              <w:sz w:val="16"/>
                            </w:rPr>
                            <w:t xml:space="preserve"> </w:t>
                          </w:r>
                          <w:r>
                            <w:rPr>
                              <w:sz w:val="16"/>
                            </w:rPr>
                            <w:t>45044</w:t>
                          </w:r>
                          <w:r>
                            <w:rPr>
                              <w:spacing w:val="-4"/>
                              <w:sz w:val="16"/>
                            </w:rPr>
                            <w:t xml:space="preserve"> </w:t>
                          </w:r>
                          <w:r>
                            <w:rPr>
                              <w:sz w:val="16"/>
                            </w:rPr>
                            <w:t>Orléans</w:t>
                          </w:r>
                          <w:r>
                            <w:rPr>
                              <w:spacing w:val="-1"/>
                              <w:sz w:val="16"/>
                            </w:rPr>
                            <w:t xml:space="preserve"> </w:t>
                          </w:r>
                          <w:r>
                            <w:rPr>
                              <w:sz w:val="16"/>
                            </w:rPr>
                            <w:t>Cedex</w:t>
                          </w:r>
                          <w:r>
                            <w:rPr>
                              <w:spacing w:val="-5"/>
                              <w:sz w:val="16"/>
                            </w:rPr>
                            <w:t xml:space="preserve"> </w:t>
                          </w:r>
                          <w:r>
                            <w:rPr>
                              <w:sz w:val="16"/>
                            </w:rPr>
                            <w:t>1 Standard : 02 38 77 32 32 / Fax : 02 38 54 46 03</w:t>
                          </w:r>
                        </w:p>
                      </w:txbxContent>
                    </wps:txbx>
                    <wps:bodyPr wrap="square" lIns="0" tIns="0" rIns="0" bIns="0" rtlCol="0">
                      <a:noAutofit/>
                    </wps:bodyPr>
                  </wps:wsp>
                </a:graphicData>
              </a:graphic>
            </wp:anchor>
          </w:drawing>
        </mc:Choice>
        <mc:Fallback>
          <w:pict>
            <v:shapetype w14:anchorId="7D868178" id="_x0000_t202" coordsize="21600,21600" o:spt="202" path="m,l,21600r21600,l21600,xe">
              <v:stroke joinstyle="miter"/>
              <v:path gradientshapeok="t" o:connecttype="rect"/>
            </v:shapetype>
            <v:shape id="Textbox 1" o:spid="_x0000_s1027" type="#_x0000_t202" style="position:absolute;margin-left:69.8pt;margin-top:793.45pt;width:293.3pt;height:29.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" filled="f" stroked="f">
              <v:textbox inset="0,0,0,0">
                <w:txbxContent>
                  <w:p w14:paraId="45024CB3" w14:textId="77777777" w:rsidR="00C15853" w:rsidRDefault="00920A0F">
                    <w:pPr>
                      <w:spacing w:before="15"/>
                      <w:ind w:left="20"/>
                      <w:rPr>
                        <w:sz w:val="16"/>
                      </w:rPr>
                    </w:pPr>
                    <w:r>
                      <w:rPr>
                        <w:sz w:val="16"/>
                      </w:rPr>
                      <w:t>ARS</w:t>
                    </w:r>
                    <w:r>
                      <w:rPr>
                        <w:spacing w:val="-3"/>
                        <w:sz w:val="16"/>
                      </w:rPr>
                      <w:t xml:space="preserve"> </w:t>
                    </w:r>
                    <w:r>
                      <w:rPr>
                        <w:sz w:val="16"/>
                      </w:rPr>
                      <w:t>Centre-Val</w:t>
                    </w:r>
                    <w:r>
                      <w:rPr>
                        <w:spacing w:val="-3"/>
                        <w:sz w:val="16"/>
                      </w:rPr>
                      <w:t xml:space="preserve"> </w:t>
                    </w:r>
                    <w:r>
                      <w:rPr>
                        <w:sz w:val="16"/>
                      </w:rPr>
                      <w:t>de</w:t>
                    </w:r>
                    <w:r>
                      <w:rPr>
                        <w:spacing w:val="-5"/>
                        <w:sz w:val="16"/>
                      </w:rPr>
                      <w:t xml:space="preserve"> </w:t>
                    </w:r>
                    <w:r>
                      <w:rPr>
                        <w:spacing w:val="-4"/>
                        <w:sz w:val="16"/>
                      </w:rPr>
                      <w:t>Loire</w:t>
                    </w:r>
                  </w:p>
                  <w:p w14:paraId="04453B88" w14:textId="77777777" w:rsidR="00C15853" w:rsidRDefault="00920A0F">
                    <w:pPr>
                      <w:spacing w:before="1"/>
                      <w:ind w:left="20"/>
                      <w:rPr>
                        <w:sz w:val="16"/>
                      </w:rPr>
                    </w:pPr>
                    <w:r>
                      <w:rPr>
                        <w:sz w:val="16"/>
                      </w:rPr>
                      <w:t>Cité</w:t>
                    </w:r>
                    <w:r>
                      <w:rPr>
                        <w:spacing w:val="-2"/>
                        <w:sz w:val="16"/>
                      </w:rPr>
                      <w:t xml:space="preserve"> </w:t>
                    </w:r>
                    <w:r>
                      <w:rPr>
                        <w:sz w:val="16"/>
                      </w:rPr>
                      <w:t>Coligny</w:t>
                    </w:r>
                    <w:r>
                      <w:rPr>
                        <w:spacing w:val="-3"/>
                        <w:sz w:val="16"/>
                      </w:rPr>
                      <w:t xml:space="preserve"> </w:t>
                    </w:r>
                    <w:r>
                      <w:rPr>
                        <w:sz w:val="16"/>
                      </w:rPr>
                      <w:t>–</w:t>
                    </w:r>
                    <w:r>
                      <w:rPr>
                        <w:spacing w:val="-2"/>
                        <w:sz w:val="16"/>
                      </w:rPr>
                      <w:t xml:space="preserve"> </w:t>
                    </w:r>
                    <w:r>
                      <w:rPr>
                        <w:sz w:val="16"/>
                      </w:rPr>
                      <w:t>131</w:t>
                    </w:r>
                    <w:r>
                      <w:rPr>
                        <w:spacing w:val="-4"/>
                        <w:sz w:val="16"/>
                      </w:rPr>
                      <w:t xml:space="preserve"> </w:t>
                    </w:r>
                    <w:r>
                      <w:rPr>
                        <w:sz w:val="16"/>
                      </w:rPr>
                      <w:t>rue</w:t>
                    </w:r>
                    <w:r>
                      <w:rPr>
                        <w:spacing w:val="-2"/>
                        <w:sz w:val="16"/>
                      </w:rPr>
                      <w:t xml:space="preserve"> </w:t>
                    </w:r>
                    <w:r>
                      <w:rPr>
                        <w:sz w:val="16"/>
                      </w:rPr>
                      <w:t>du</w:t>
                    </w:r>
                    <w:r>
                      <w:rPr>
                        <w:spacing w:val="-4"/>
                        <w:sz w:val="16"/>
                      </w:rPr>
                      <w:t xml:space="preserve"> </w:t>
                    </w:r>
                    <w:r>
                      <w:rPr>
                        <w:sz w:val="16"/>
                      </w:rPr>
                      <w:t>faubourg</w:t>
                    </w:r>
                    <w:r>
                      <w:rPr>
                        <w:spacing w:val="-2"/>
                        <w:sz w:val="16"/>
                      </w:rPr>
                      <w:t xml:space="preserve"> </w:t>
                    </w:r>
                    <w:proofErr w:type="spellStart"/>
                    <w:r>
                      <w:rPr>
                        <w:sz w:val="16"/>
                      </w:rPr>
                      <w:t>Bannier</w:t>
                    </w:r>
                    <w:proofErr w:type="spellEnd"/>
                    <w:r>
                      <w:rPr>
                        <w:spacing w:val="-2"/>
                        <w:sz w:val="16"/>
                      </w:rPr>
                      <w:t xml:space="preserve"> </w:t>
                    </w:r>
                    <w:r>
                      <w:rPr>
                        <w:sz w:val="16"/>
                      </w:rPr>
                      <w:t>–</w:t>
                    </w:r>
                    <w:r>
                      <w:rPr>
                        <w:spacing w:val="-4"/>
                        <w:sz w:val="16"/>
                      </w:rPr>
                      <w:t xml:space="preserve"> </w:t>
                    </w:r>
                    <w:r>
                      <w:rPr>
                        <w:sz w:val="16"/>
                      </w:rPr>
                      <w:t>BP</w:t>
                    </w:r>
                    <w:r>
                      <w:rPr>
                        <w:spacing w:val="-2"/>
                        <w:sz w:val="16"/>
                      </w:rPr>
                      <w:t xml:space="preserve"> </w:t>
                    </w:r>
                    <w:r>
                      <w:rPr>
                        <w:sz w:val="16"/>
                      </w:rPr>
                      <w:t>74409</w:t>
                    </w:r>
                    <w:r>
                      <w:rPr>
                        <w:spacing w:val="-2"/>
                        <w:sz w:val="16"/>
                      </w:rPr>
                      <w:t xml:space="preserve"> </w:t>
                    </w:r>
                    <w:r>
                      <w:rPr>
                        <w:sz w:val="16"/>
                      </w:rPr>
                      <w:t>–</w:t>
                    </w:r>
                    <w:r>
                      <w:rPr>
                        <w:spacing w:val="-2"/>
                        <w:sz w:val="16"/>
                      </w:rPr>
                      <w:t xml:space="preserve"> </w:t>
                    </w:r>
                    <w:r>
                      <w:rPr>
                        <w:sz w:val="16"/>
                      </w:rPr>
                      <w:t>45044</w:t>
                    </w:r>
                    <w:r>
                      <w:rPr>
                        <w:spacing w:val="-4"/>
                        <w:sz w:val="16"/>
                      </w:rPr>
                      <w:t xml:space="preserve"> </w:t>
                    </w:r>
                    <w:r>
                      <w:rPr>
                        <w:sz w:val="16"/>
                      </w:rPr>
                      <w:t>Orléans</w:t>
                    </w:r>
                    <w:r>
                      <w:rPr>
                        <w:spacing w:val="-1"/>
                        <w:sz w:val="16"/>
                      </w:rPr>
                      <w:t xml:space="preserve"> </w:t>
                    </w:r>
                    <w:r>
                      <w:rPr>
                        <w:sz w:val="16"/>
                      </w:rPr>
                      <w:t>Cedex</w:t>
                    </w:r>
                    <w:r>
                      <w:rPr>
                        <w:spacing w:val="-5"/>
                        <w:sz w:val="16"/>
                      </w:rPr>
                      <w:t xml:space="preserve"> </w:t>
                    </w:r>
                    <w:r>
                      <w:rPr>
                        <w:sz w:val="16"/>
                      </w:rPr>
                      <w:t>1 Standard : 02 38 77 32 32 / Fax : 02 38 54 46 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4740" w14:textId="77777777" w:rsidR="000B4815" w:rsidRDefault="000B4815">
      <w:r>
        <w:separator/>
      </w:r>
    </w:p>
  </w:footnote>
  <w:footnote w:type="continuationSeparator" w:id="0">
    <w:p w14:paraId="2948545F" w14:textId="77777777" w:rsidR="000B4815" w:rsidRDefault="000B4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F7C63"/>
    <w:multiLevelType w:val="multilevel"/>
    <w:tmpl w:val="4E928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A02CAD"/>
    <w:multiLevelType w:val="hybridMultilevel"/>
    <w:tmpl w:val="E942299E"/>
    <w:lvl w:ilvl="0" w:tplc="07F491F4">
      <w:start w:val="10"/>
      <w:numFmt w:val="decimal"/>
      <w:lvlText w:val="%1."/>
      <w:lvlJc w:val="left"/>
      <w:pPr>
        <w:ind w:left="362" w:hanging="360"/>
      </w:pPr>
      <w:rPr>
        <w:rFonts w:hint="default"/>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2" w15:restartNumberingAfterBreak="0">
    <w:nsid w:val="5FF45738"/>
    <w:multiLevelType w:val="multilevel"/>
    <w:tmpl w:val="806071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E23C7D"/>
    <w:multiLevelType w:val="multilevel"/>
    <w:tmpl w:val="06DC7A8A"/>
    <w:lvl w:ilvl="0">
      <w:start w:val="1"/>
      <w:numFmt w:val="decimal"/>
      <w:lvlText w:val="%1."/>
      <w:lvlJc w:val="left"/>
      <w:pPr>
        <w:ind w:left="812" w:hanging="245"/>
        <w:jc w:val="right"/>
      </w:pPr>
      <w:rPr>
        <w:rFonts w:hint="default"/>
        <w:spacing w:val="-1"/>
        <w:w w:val="100"/>
        <w:lang w:val="fr-FR" w:eastAsia="en-US" w:bidi="ar-SA"/>
      </w:rPr>
    </w:lvl>
    <w:lvl w:ilvl="1">
      <w:start w:val="1"/>
      <w:numFmt w:val="decimal"/>
      <w:lvlText w:val="%1.%2."/>
      <w:lvlJc w:val="left"/>
      <w:pPr>
        <w:ind w:left="406" w:hanging="406"/>
        <w:jc w:val="right"/>
      </w:pPr>
      <w:rPr>
        <w:rFonts w:ascii="Arial MT" w:eastAsia="Arial MT" w:hAnsi="Arial MT" w:cs="Arial MT" w:hint="default"/>
        <w:b w:val="0"/>
        <w:bCs w:val="0"/>
        <w:i w:val="0"/>
        <w:iCs w:val="0"/>
        <w:spacing w:val="-1"/>
        <w:w w:val="100"/>
        <w:sz w:val="22"/>
        <w:szCs w:val="22"/>
        <w:lang w:val="fr-FR" w:eastAsia="en-US" w:bidi="ar-SA"/>
      </w:rPr>
    </w:lvl>
    <w:lvl w:ilvl="2">
      <w:numFmt w:val="bullet"/>
      <w:lvlText w:val="–"/>
      <w:lvlJc w:val="left"/>
      <w:pPr>
        <w:ind w:left="606" w:hanging="188"/>
      </w:pPr>
      <w:rPr>
        <w:rFonts w:ascii="Arial MT" w:eastAsia="Arial MT" w:hAnsi="Arial MT" w:cs="Arial MT" w:hint="default"/>
        <w:b w:val="0"/>
        <w:bCs w:val="0"/>
        <w:i w:val="0"/>
        <w:iCs w:val="0"/>
        <w:spacing w:val="0"/>
        <w:w w:val="100"/>
        <w:sz w:val="22"/>
        <w:szCs w:val="22"/>
        <w:lang w:val="fr-FR" w:eastAsia="en-US" w:bidi="ar-SA"/>
      </w:rPr>
    </w:lvl>
    <w:lvl w:ilvl="3">
      <w:numFmt w:val="bullet"/>
      <w:lvlText w:val="•"/>
      <w:lvlJc w:val="left"/>
      <w:pPr>
        <w:ind w:left="2743" w:hanging="188"/>
      </w:pPr>
      <w:rPr>
        <w:rFonts w:hint="default"/>
        <w:lang w:val="fr-FR" w:eastAsia="en-US" w:bidi="ar-SA"/>
      </w:rPr>
    </w:lvl>
    <w:lvl w:ilvl="4">
      <w:numFmt w:val="bullet"/>
      <w:lvlText w:val="•"/>
      <w:lvlJc w:val="left"/>
      <w:pPr>
        <w:ind w:left="3687" w:hanging="188"/>
      </w:pPr>
      <w:rPr>
        <w:rFonts w:hint="default"/>
        <w:lang w:val="fr-FR" w:eastAsia="en-US" w:bidi="ar-SA"/>
      </w:rPr>
    </w:lvl>
    <w:lvl w:ilvl="5">
      <w:numFmt w:val="bullet"/>
      <w:lvlText w:val="•"/>
      <w:lvlJc w:val="left"/>
      <w:pPr>
        <w:ind w:left="4631" w:hanging="188"/>
      </w:pPr>
      <w:rPr>
        <w:rFonts w:hint="default"/>
        <w:lang w:val="fr-FR" w:eastAsia="en-US" w:bidi="ar-SA"/>
      </w:rPr>
    </w:lvl>
    <w:lvl w:ilvl="6">
      <w:numFmt w:val="bullet"/>
      <w:lvlText w:val="•"/>
      <w:lvlJc w:val="left"/>
      <w:pPr>
        <w:ind w:left="5575" w:hanging="188"/>
      </w:pPr>
      <w:rPr>
        <w:rFonts w:hint="default"/>
        <w:lang w:val="fr-FR" w:eastAsia="en-US" w:bidi="ar-SA"/>
      </w:rPr>
    </w:lvl>
    <w:lvl w:ilvl="7">
      <w:numFmt w:val="bullet"/>
      <w:lvlText w:val="•"/>
      <w:lvlJc w:val="left"/>
      <w:pPr>
        <w:ind w:left="6518" w:hanging="188"/>
      </w:pPr>
      <w:rPr>
        <w:rFonts w:hint="default"/>
        <w:lang w:val="fr-FR" w:eastAsia="en-US" w:bidi="ar-SA"/>
      </w:rPr>
    </w:lvl>
    <w:lvl w:ilvl="8">
      <w:numFmt w:val="bullet"/>
      <w:lvlText w:val="•"/>
      <w:lvlJc w:val="left"/>
      <w:pPr>
        <w:ind w:left="7462" w:hanging="188"/>
      </w:pPr>
      <w:rPr>
        <w:rFonts w:hint="default"/>
        <w:lang w:val="fr-FR" w:eastAsia="en-US" w:bidi="ar-SA"/>
      </w:rPr>
    </w:lvl>
  </w:abstractNum>
  <w:abstractNum w:abstractNumId="4" w15:restartNumberingAfterBreak="0">
    <w:nsid w:val="6F6E257B"/>
    <w:multiLevelType w:val="hybridMultilevel"/>
    <w:tmpl w:val="3668B4A0"/>
    <w:lvl w:ilvl="0" w:tplc="DDBE6A30">
      <w:numFmt w:val="bullet"/>
      <w:lvlText w:val="–"/>
      <w:lvlJc w:val="left"/>
      <w:pPr>
        <w:ind w:left="546" w:hanging="195"/>
      </w:pPr>
      <w:rPr>
        <w:rFonts w:ascii="Arial MT" w:eastAsia="Arial MT" w:hAnsi="Arial MT" w:cs="Arial MT" w:hint="default"/>
        <w:b w:val="0"/>
        <w:bCs w:val="0"/>
        <w:i w:val="0"/>
        <w:iCs w:val="0"/>
        <w:spacing w:val="0"/>
        <w:w w:val="100"/>
        <w:sz w:val="22"/>
        <w:szCs w:val="22"/>
        <w:lang w:val="fr-FR" w:eastAsia="en-US" w:bidi="ar-SA"/>
      </w:rPr>
    </w:lvl>
    <w:lvl w:ilvl="1" w:tplc="1DC8F3AA">
      <w:numFmt w:val="bullet"/>
      <w:lvlText w:val="•"/>
      <w:lvlJc w:val="left"/>
      <w:pPr>
        <w:ind w:left="1421" w:hanging="195"/>
      </w:pPr>
      <w:rPr>
        <w:rFonts w:hint="default"/>
        <w:lang w:val="fr-FR" w:eastAsia="en-US" w:bidi="ar-SA"/>
      </w:rPr>
    </w:lvl>
    <w:lvl w:ilvl="2" w:tplc="6C94D250">
      <w:numFmt w:val="bullet"/>
      <w:lvlText w:val="•"/>
      <w:lvlJc w:val="left"/>
      <w:pPr>
        <w:ind w:left="2302" w:hanging="195"/>
      </w:pPr>
      <w:rPr>
        <w:rFonts w:hint="default"/>
        <w:lang w:val="fr-FR" w:eastAsia="en-US" w:bidi="ar-SA"/>
      </w:rPr>
    </w:lvl>
    <w:lvl w:ilvl="3" w:tplc="C492BE92">
      <w:numFmt w:val="bullet"/>
      <w:lvlText w:val="•"/>
      <w:lvlJc w:val="left"/>
      <w:pPr>
        <w:ind w:left="3183" w:hanging="195"/>
      </w:pPr>
      <w:rPr>
        <w:rFonts w:hint="default"/>
        <w:lang w:val="fr-FR" w:eastAsia="en-US" w:bidi="ar-SA"/>
      </w:rPr>
    </w:lvl>
    <w:lvl w:ilvl="4" w:tplc="8068892C">
      <w:numFmt w:val="bullet"/>
      <w:lvlText w:val="•"/>
      <w:lvlJc w:val="left"/>
      <w:pPr>
        <w:ind w:left="4064" w:hanging="195"/>
      </w:pPr>
      <w:rPr>
        <w:rFonts w:hint="default"/>
        <w:lang w:val="fr-FR" w:eastAsia="en-US" w:bidi="ar-SA"/>
      </w:rPr>
    </w:lvl>
    <w:lvl w:ilvl="5" w:tplc="FB9C3ED8">
      <w:numFmt w:val="bullet"/>
      <w:lvlText w:val="•"/>
      <w:lvlJc w:val="left"/>
      <w:pPr>
        <w:ind w:left="4945" w:hanging="195"/>
      </w:pPr>
      <w:rPr>
        <w:rFonts w:hint="default"/>
        <w:lang w:val="fr-FR" w:eastAsia="en-US" w:bidi="ar-SA"/>
      </w:rPr>
    </w:lvl>
    <w:lvl w:ilvl="6" w:tplc="748CBBBA">
      <w:numFmt w:val="bullet"/>
      <w:lvlText w:val="•"/>
      <w:lvlJc w:val="left"/>
      <w:pPr>
        <w:ind w:left="5826" w:hanging="195"/>
      </w:pPr>
      <w:rPr>
        <w:rFonts w:hint="default"/>
        <w:lang w:val="fr-FR" w:eastAsia="en-US" w:bidi="ar-SA"/>
      </w:rPr>
    </w:lvl>
    <w:lvl w:ilvl="7" w:tplc="5262E906">
      <w:numFmt w:val="bullet"/>
      <w:lvlText w:val="•"/>
      <w:lvlJc w:val="left"/>
      <w:pPr>
        <w:ind w:left="6707" w:hanging="195"/>
      </w:pPr>
      <w:rPr>
        <w:rFonts w:hint="default"/>
        <w:lang w:val="fr-FR" w:eastAsia="en-US" w:bidi="ar-SA"/>
      </w:rPr>
    </w:lvl>
    <w:lvl w:ilvl="8" w:tplc="3BDE17FA">
      <w:numFmt w:val="bullet"/>
      <w:lvlText w:val="•"/>
      <w:lvlJc w:val="left"/>
      <w:pPr>
        <w:ind w:left="7588" w:hanging="195"/>
      </w:pPr>
      <w:rPr>
        <w:rFonts w:hint="default"/>
        <w:lang w:val="fr-FR" w:eastAsia="en-US" w:bidi="ar-SA"/>
      </w:rPr>
    </w:lvl>
  </w:abstractNum>
  <w:abstractNum w:abstractNumId="5" w15:restartNumberingAfterBreak="0">
    <w:nsid w:val="7781553E"/>
    <w:multiLevelType w:val="hybridMultilevel"/>
    <w:tmpl w:val="D5081F3A"/>
    <w:lvl w:ilvl="0" w:tplc="DDBE6A30">
      <w:numFmt w:val="bullet"/>
      <w:lvlText w:val="–"/>
      <w:lvlJc w:val="left"/>
      <w:pPr>
        <w:ind w:left="720" w:hanging="360"/>
      </w:pPr>
      <w:rPr>
        <w:rFonts w:ascii="Arial MT" w:eastAsia="Arial MT" w:hAnsi="Arial MT" w:cs="Arial MT"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447FBC"/>
    <w:multiLevelType w:val="hybridMultilevel"/>
    <w:tmpl w:val="65CA6084"/>
    <w:lvl w:ilvl="0" w:tplc="5ECAFD1A">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F8017FA"/>
    <w:multiLevelType w:val="hybridMultilevel"/>
    <w:tmpl w:val="137CCEA8"/>
    <w:lvl w:ilvl="0" w:tplc="39D63044">
      <w:start w:val="4"/>
      <w:numFmt w:val="bullet"/>
      <w:lvlText w:val="-"/>
      <w:lvlJc w:val="left"/>
      <w:pPr>
        <w:ind w:left="720" w:hanging="360"/>
      </w:pPr>
      <w:rPr>
        <w:rFonts w:ascii="Arial MT" w:eastAsia="Arial MT" w:hAnsi="Arial M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2200301">
    <w:abstractNumId w:val="4"/>
  </w:num>
  <w:num w:numId="2" w16cid:durableId="1804302221">
    <w:abstractNumId w:val="3"/>
  </w:num>
  <w:num w:numId="3" w16cid:durableId="91318604">
    <w:abstractNumId w:val="0"/>
  </w:num>
  <w:num w:numId="4" w16cid:durableId="323167124">
    <w:abstractNumId w:val="7"/>
  </w:num>
  <w:num w:numId="5" w16cid:durableId="1635284649">
    <w:abstractNumId w:val="5"/>
  </w:num>
  <w:num w:numId="6" w16cid:durableId="1692609341">
    <w:abstractNumId w:val="2"/>
  </w:num>
  <w:num w:numId="7" w16cid:durableId="713770048">
    <w:abstractNumId w:val="1"/>
  </w:num>
  <w:num w:numId="8" w16cid:durableId="1006832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53"/>
    <w:rsid w:val="0006710C"/>
    <w:rsid w:val="000B4815"/>
    <w:rsid w:val="000C58AB"/>
    <w:rsid w:val="00200248"/>
    <w:rsid w:val="00271EE0"/>
    <w:rsid w:val="002B656E"/>
    <w:rsid w:val="00455DC8"/>
    <w:rsid w:val="0058018A"/>
    <w:rsid w:val="00633550"/>
    <w:rsid w:val="008650F0"/>
    <w:rsid w:val="00920A0F"/>
    <w:rsid w:val="00AB4265"/>
    <w:rsid w:val="00BC024D"/>
    <w:rsid w:val="00BF156D"/>
    <w:rsid w:val="00BF795B"/>
    <w:rsid w:val="00C15853"/>
    <w:rsid w:val="00CB4E2F"/>
    <w:rsid w:val="00EF4A04"/>
    <w:rsid w:val="00F050CD"/>
    <w:rsid w:val="00FC4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3E21"/>
  <w15:docId w15:val="{F1FEDBEB-A653-4315-BEE9-4E038925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2"/>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546"/>
      <w:jc w:val="both"/>
    </w:pPr>
  </w:style>
  <w:style w:type="paragraph" w:styleId="Paragraphedeliste">
    <w:name w:val="List Paragraph"/>
    <w:basedOn w:val="Normal"/>
    <w:uiPriority w:val="1"/>
    <w:qFormat/>
    <w:pPr>
      <w:ind w:left="546" w:right="13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3084</Words>
  <Characters>16962</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Cahier des charges TROD VIH_VHC_VHB_juin 2021</vt:lpstr>
    </vt:vector>
  </TitlesOfParts>
  <Company>Ministeres sociaux</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TROD VIH_VHC_VHB_juin 2021</dc:title>
  <dc:creator>myraux</dc:creator>
  <cp:lastModifiedBy>GRAVIER, Anne (ARS-CVL/DSPE/DPPS-ET)</cp:lastModifiedBy>
  <cp:revision>4</cp:revision>
  <dcterms:created xsi:type="dcterms:W3CDTF">2025-09-30T14:34:00Z</dcterms:created>
  <dcterms:modified xsi:type="dcterms:W3CDTF">2025-09-30T14:35:00Z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PDFCreator Version 1.6.0</vt:lpwstr>
  </property>
  <property fmtid="{D5CDD505-2E9C-101B-9397-08002B2CF9AE}" pid="4" name="LastSaved">
    <vt:filetime>2025-09-30T00:00:00Z</vt:filetime>
  </property>
  <property fmtid="{D5CDD505-2E9C-101B-9397-08002B2CF9AE}" pid="5" name="Producer">
    <vt:lpwstr>GPL Ghostscript 9.06</vt:lpwstr>
  </property>
  <property fmtid="{D5CDD505-2E9C-101B-9397-08002B2CF9AE}" pid="6" name="MSIP_Label_3094c1fb-3db8-4cce-b079-9b022302847f_Enabled">
    <vt:lpwstr>true</vt:lpwstr>
  </property>
  <property fmtid="{D5CDD505-2E9C-101B-9397-08002B2CF9AE}" pid="7" name="MSIP_Label_3094c1fb-3db8-4cce-b079-9b022302847f_SetDate">
    <vt:lpwstr>2025-09-30T12:39:14Z</vt:lpwstr>
  </property>
  <property fmtid="{D5CDD505-2E9C-101B-9397-08002B2CF9AE}" pid="8" name="MSIP_Label_3094c1fb-3db8-4cce-b079-9b022302847f_Method">
    <vt:lpwstr>Standard</vt:lpwstr>
  </property>
  <property fmtid="{D5CDD505-2E9C-101B-9397-08002B2CF9AE}" pid="9" name="MSIP_Label_3094c1fb-3db8-4cce-b079-9b022302847f_Name">
    <vt:lpwstr>[Prod v5] C1 - Standard</vt:lpwstr>
  </property>
  <property fmtid="{D5CDD505-2E9C-101B-9397-08002B2CF9AE}" pid="10" name="MSIP_Label_3094c1fb-3db8-4cce-b079-9b022302847f_SiteId">
    <vt:lpwstr>035e5292-5a25-4509-bb08-a555f7d31a8b</vt:lpwstr>
  </property>
  <property fmtid="{D5CDD505-2E9C-101B-9397-08002B2CF9AE}" pid="11" name="MSIP_Label_3094c1fb-3db8-4cce-b079-9b022302847f_ActionId">
    <vt:lpwstr>2f52b633-5065-40df-b7cb-29bfd90ee174</vt:lpwstr>
  </property>
  <property fmtid="{D5CDD505-2E9C-101B-9397-08002B2CF9AE}" pid="12" name="MSIP_Label_3094c1fb-3db8-4cce-b079-9b022302847f_ContentBits">
    <vt:lpwstr>0</vt:lpwstr>
  </property>
  <property fmtid="{D5CDD505-2E9C-101B-9397-08002B2CF9AE}" pid="13" name="MSIP_Label_3094c1fb-3db8-4cce-b079-9b022302847f_Tag">
    <vt:lpwstr>10, 3, 0, 1</vt:lpwstr>
  </property>
</Properties>
</file>