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auGrille4-Accentuation1"/>
        <w:tblpPr w:leftFromText="141" w:rightFromText="141" w:vertAnchor="text" w:horzAnchor="margin" w:tblpY="760"/>
        <w:tblW w:w="0" w:type="auto"/>
        <w:tblLook w:val="04A0" w:firstRow="1" w:lastRow="0" w:firstColumn="1" w:lastColumn="0" w:noHBand="0" w:noVBand="1"/>
      </w:tblPr>
      <w:tblGrid>
        <w:gridCol w:w="9062"/>
      </w:tblGrid>
      <w:tr w:rsidR="00273F0A" w:rsidTr="00E771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Default="00D05538" w:rsidP="00E77183">
            <w:r>
              <w:rPr>
                <w:sz w:val="24"/>
              </w:rPr>
              <w:t>HVCVL/ES/TRANSFUSION/TEMOIN-JEHOVAH</w:t>
            </w:r>
          </w:p>
        </w:tc>
      </w:tr>
      <w:tr w:rsidR="00273F0A"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rédaction : </w:t>
            </w:r>
            <w:r w:rsidR="00554F14">
              <w:rPr>
                <w:b w:val="0"/>
                <w:sz w:val="18"/>
              </w:rPr>
              <w:t>07/2017</w:t>
            </w:r>
          </w:p>
        </w:tc>
      </w:tr>
      <w:tr w:rsidR="00273F0A" w:rsidTr="00E77183">
        <w:tc>
          <w:tcPr>
            <w:cnfStyle w:val="001000000000" w:firstRow="0" w:lastRow="0" w:firstColumn="1" w:lastColumn="0" w:oddVBand="0" w:evenVBand="0" w:oddHBand="0" w:evenHBand="0" w:firstRowFirstColumn="0" w:firstRowLastColumn="0" w:lastRowFirstColumn="0" w:lastRowLastColumn="0"/>
            <w:tcW w:w="9062" w:type="dxa"/>
          </w:tcPr>
          <w:p w:rsidR="00273F0A" w:rsidRPr="00B432ED" w:rsidRDefault="00FC530B" w:rsidP="00E77183">
            <w:pPr>
              <w:rPr>
                <w:sz w:val="18"/>
              </w:rPr>
            </w:pPr>
            <w:r w:rsidRPr="00B432ED">
              <w:rPr>
                <w:sz w:val="18"/>
              </w:rPr>
              <w:t xml:space="preserve">Date de diffusion : </w:t>
            </w:r>
            <w:r w:rsidR="00D05538">
              <w:rPr>
                <w:b w:val="0"/>
                <w:sz w:val="18"/>
              </w:rPr>
              <w:t>14/12</w:t>
            </w:r>
            <w:r w:rsidRPr="00B432ED">
              <w:rPr>
                <w:b w:val="0"/>
                <w:sz w:val="18"/>
              </w:rPr>
              <w:t>/2020</w:t>
            </w:r>
          </w:p>
        </w:tc>
      </w:tr>
      <w:tr w:rsidR="00FC530B" w:rsidTr="00E771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rsidR="00FC530B" w:rsidRPr="00B432ED" w:rsidRDefault="00FC530B" w:rsidP="00E77183">
            <w:pPr>
              <w:rPr>
                <w:sz w:val="18"/>
              </w:rPr>
            </w:pPr>
            <w:r w:rsidRPr="00B432ED">
              <w:rPr>
                <w:sz w:val="18"/>
              </w:rPr>
              <w:t xml:space="preserve">Version : </w:t>
            </w:r>
            <w:r w:rsidR="000944BB">
              <w:rPr>
                <w:b w:val="0"/>
                <w:sz w:val="18"/>
              </w:rPr>
              <w:t>05</w:t>
            </w:r>
            <w:r w:rsidR="006314D5">
              <w:rPr>
                <w:b w:val="0"/>
                <w:sz w:val="18"/>
              </w:rPr>
              <w:t xml:space="preserve"> (MAJ 04/2024)</w:t>
            </w:r>
          </w:p>
        </w:tc>
      </w:tr>
    </w:tbl>
    <w:p w:rsidR="00E77183" w:rsidRDefault="00E77183"/>
    <w:p w:rsidR="00E77183" w:rsidRDefault="00E77183"/>
    <w:p w:rsidR="00470594" w:rsidRDefault="00470594"/>
    <w:p w:rsidR="00470594" w:rsidRDefault="00E77183">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104671</wp:posOffset>
                </wp:positionV>
                <wp:extent cx="5745167" cy="292905"/>
                <wp:effectExtent l="0" t="0" r="27305" b="12065"/>
                <wp:wrapNone/>
                <wp:docPr id="3" name="Rectangle 3"/>
                <wp:cNvGraphicFramePr/>
                <a:graphic xmlns:a="http://schemas.openxmlformats.org/drawingml/2006/main">
                  <a:graphicData uri="http://schemas.microsoft.com/office/word/2010/wordprocessingShape">
                    <wps:wsp>
                      <wps:cNvSpPr/>
                      <wps:spPr>
                        <a:xfrm>
                          <a:off x="0" y="0"/>
                          <a:ext cx="5745167" cy="29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C530B" w:rsidRPr="00FC530B" w:rsidRDefault="00D05538" w:rsidP="00FC530B">
                            <w:pPr>
                              <w:rPr>
                                <w:b/>
                                <w:sz w:val="28"/>
                              </w:rPr>
                            </w:pPr>
                            <w:r>
                              <w:rPr>
                                <w:b/>
                                <w:sz w:val="28"/>
                              </w:rPr>
                              <w:t>Pr</w:t>
                            </w:r>
                            <w:r w:rsidR="000944BB">
                              <w:rPr>
                                <w:b/>
                                <w:sz w:val="28"/>
                              </w:rPr>
                              <w:t xml:space="preserve">ise en charge transfusionnelle </w:t>
                            </w:r>
                            <w:r w:rsidR="000944BB" w:rsidRPr="00E6613C">
                              <w:rPr>
                                <w:b/>
                                <w:sz w:val="28"/>
                              </w:rPr>
                              <w:t>T</w:t>
                            </w:r>
                            <w:r w:rsidRPr="00E6613C">
                              <w:rPr>
                                <w:b/>
                                <w:sz w:val="28"/>
                              </w:rPr>
                              <w:t>émoin de Jéhovah</w:t>
                            </w:r>
                            <w:r w:rsidR="00FC530B" w:rsidRPr="00E6613C">
                              <w:rPr>
                                <w:b/>
                                <w:sz w:val="28"/>
                              </w:rPr>
                              <w:t xml:space="preserve"> </w:t>
                            </w:r>
                            <w:r w:rsidR="000944BB" w:rsidRPr="00E6613C">
                              <w:rPr>
                                <w:b/>
                                <w:sz w:val="28"/>
                              </w:rPr>
                              <w:t>(TJ)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8.25pt;width:452.4pt;height:23.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uIhewIAAEQ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elsPjk55UySbno+Pc/n&#10;ETR79Xbow3cFDYtCwZGiJybF7taH3vRgQn4xmz5+ksLeqJiCsY9KUxkUcZq8UwOpK4NsJ+jqhZTK&#10;hkmvqkSp+uN5Tt+Qz+iRskuAEVnXxozYA0Bszo/Yfa6DfXRVqf9G5/xvifXOo0eKDDaMzk1tAT8D&#10;MFTVELm3P5DUUxNZCt26I5MorqHc030j9IPgnbypifZb4cODQOp8mhGa5nBPizbQFhwGibMK8Pdn&#10;59GeGpK0nLU0SQX3v7YCFWfmh6VWPZ/MZnH00mY2P53SBt9q1m81dttcAd3YhN4NJ5MY7YM5iBqh&#10;eaGhX8WopBJWUuyCy4CHzVXoJ5yeDalWq2RG4+ZEuLVPTkbwSHBsq+fuRaAbei9Q197BYerE4l0L&#10;9rbR08JqG0DXqT9feR2op1FNPTQ8K/EteLtPVq+P3/IPAAAA//8DAFBLAwQUAAYACAAAACEA8xL8&#10;JNkAAAAGAQAADwAAAGRycy9kb3ducmV2LnhtbEyPwU7DMBBE70j8g7VI3KjTCgKEOBWqxAWJQ1s+&#10;YBsvSai9jmKnSf6e5QTH3RnNvCm3s3fqQkPsAhtYrzJQxHWwHTcGPo9vd0+gYkK26AKTgYUibKvr&#10;qxILGybe0+WQGiUhHAs00KbUF1rHuiWPcRV6YtG+wuAxyTk02g44Sbh3epNlufbYsTS02NOupfp8&#10;GL2UIO2X9eO0O3+083tHbvmmcTHm9mZ+fQGVaE5/ZvjFF3SohOkURrZROQMyJMk3fwAl6nN2L0NO&#10;BvJNDroq9X/86gcAAP//AwBQSwECLQAUAAYACAAAACEAtoM4kv4AAADhAQAAEwAAAAAAAAAAAAAA&#10;AAAAAAAAW0NvbnRlbnRfVHlwZXNdLnhtbFBLAQItABQABgAIAAAAIQA4/SH/1gAAAJQBAAALAAAA&#10;AAAAAAAAAAAAAC8BAABfcmVscy8ucmVsc1BLAQItABQABgAIAAAAIQA7QuIhewIAAEQFAAAOAAAA&#10;AAAAAAAAAAAAAC4CAABkcnMvZTJvRG9jLnhtbFBLAQItABQABgAIAAAAIQDzEvwk2QAAAAYBAAAP&#10;AAAAAAAAAAAAAAAAANUEAABkcnMvZG93bnJldi54bWxQSwUGAAAAAAQABADzAAAA2wUAAAAA&#10;" fillcolor="#5b9bd5 [3204]" strokecolor="#1f4d78 [1604]" strokeweight="1pt">
                <v:textbox>
                  <w:txbxContent>
                    <w:p w:rsidR="00FC530B" w:rsidRPr="00FC530B" w:rsidRDefault="00D05538" w:rsidP="00FC530B">
                      <w:pPr>
                        <w:rPr>
                          <w:b/>
                          <w:sz w:val="28"/>
                        </w:rPr>
                      </w:pPr>
                      <w:r>
                        <w:rPr>
                          <w:b/>
                          <w:sz w:val="28"/>
                        </w:rPr>
                        <w:t>Pr</w:t>
                      </w:r>
                      <w:r w:rsidR="000944BB">
                        <w:rPr>
                          <w:b/>
                          <w:sz w:val="28"/>
                        </w:rPr>
                        <w:t xml:space="preserve">ise en charge transfusionnelle </w:t>
                      </w:r>
                      <w:r w:rsidR="000944BB" w:rsidRPr="00E6613C">
                        <w:rPr>
                          <w:b/>
                          <w:sz w:val="28"/>
                        </w:rPr>
                        <w:t>T</w:t>
                      </w:r>
                      <w:r w:rsidRPr="00E6613C">
                        <w:rPr>
                          <w:b/>
                          <w:sz w:val="28"/>
                        </w:rPr>
                        <w:t>émoin de Jéhovah</w:t>
                      </w:r>
                      <w:r w:rsidR="00FC530B" w:rsidRPr="00E6613C">
                        <w:rPr>
                          <w:b/>
                          <w:sz w:val="28"/>
                        </w:rPr>
                        <w:t xml:space="preserve"> </w:t>
                      </w:r>
                      <w:r w:rsidR="000944BB" w:rsidRPr="00E6613C">
                        <w:rPr>
                          <w:b/>
                          <w:sz w:val="28"/>
                        </w:rPr>
                        <w:t>(TJ)</w:t>
                      </w:r>
                    </w:p>
                  </w:txbxContent>
                </v:textbox>
                <w10:wrap anchorx="margin"/>
              </v:rect>
            </w:pict>
          </mc:Fallback>
        </mc:AlternateContent>
      </w:r>
    </w:p>
    <w:p w:rsidR="00470594" w:rsidRDefault="00470594"/>
    <w:p w:rsidR="00470594" w:rsidRDefault="00470594"/>
    <w:p w:rsidR="00E77183" w:rsidRDefault="00E77183"/>
    <w:p w:rsidR="00470594" w:rsidRPr="00E77183" w:rsidRDefault="00E77183">
      <w:pPr>
        <w:rPr>
          <w:b/>
          <w:i/>
        </w:rPr>
      </w:pPr>
      <w:r w:rsidRPr="00E77183">
        <w:rPr>
          <w:b/>
          <w:i/>
          <w:u w:val="single"/>
        </w:rPr>
        <w:t>Objectifs</w:t>
      </w:r>
      <w:r w:rsidRPr="00E77183">
        <w:rPr>
          <w:b/>
          <w:i/>
        </w:rPr>
        <w:t> :</w:t>
      </w:r>
    </w:p>
    <w:p w:rsidR="00E77183" w:rsidRDefault="006C3AC0">
      <w:r>
        <w:t>Définit les modalités de prise en charge transfusionnelle d’un patient témoin de Jéhovah</w:t>
      </w:r>
      <w:r w:rsidRPr="003B2B40">
        <w:t>.</w:t>
      </w:r>
      <w:r w:rsidR="00A246FD" w:rsidRPr="003B2B40">
        <w:t xml:space="preserve"> </w:t>
      </w:r>
    </w:p>
    <w:p w:rsidR="0061450D" w:rsidRDefault="0061450D"/>
    <w:p w:rsidR="0061450D" w:rsidRDefault="0061450D"/>
    <w:p w:rsidR="00E77183" w:rsidRDefault="00D05538">
      <w:r>
        <w:rPr>
          <w:b/>
          <w:i/>
          <w:u w:val="single"/>
        </w:rPr>
        <w:t>R</w:t>
      </w:r>
      <w:r w:rsidR="00E77183" w:rsidRPr="00E77183">
        <w:rPr>
          <w:b/>
          <w:i/>
          <w:u w:val="single"/>
        </w:rPr>
        <w:t>éférences</w:t>
      </w:r>
      <w:r w:rsidR="00E77183">
        <w:t> :</w:t>
      </w:r>
    </w:p>
    <w:p w:rsidR="00D05538" w:rsidRPr="008606EC" w:rsidRDefault="00D05538" w:rsidP="00D05538">
      <w:pPr>
        <w:pStyle w:val="Paragraphedeliste"/>
        <w:numPr>
          <w:ilvl w:val="0"/>
          <w:numId w:val="14"/>
        </w:numPr>
        <w:spacing w:after="0" w:line="240" w:lineRule="auto"/>
        <w:ind w:left="567" w:hanging="283"/>
        <w:rPr>
          <w:rStyle w:val="Lienhypertexte"/>
          <w:rFonts w:cs="Arial"/>
          <w:b/>
          <w:color w:val="auto"/>
          <w:u w:val="none"/>
        </w:rPr>
      </w:pPr>
      <w:r w:rsidRPr="00D05538">
        <w:rPr>
          <w:rFonts w:cs="Arial"/>
        </w:rPr>
        <w:t>Service information hospitalier des témoins de Jéhovah : 0232255680</w:t>
      </w:r>
      <w:r w:rsidR="000944BB">
        <w:rPr>
          <w:rFonts w:cs="Arial"/>
        </w:rPr>
        <w:t>/</w:t>
      </w:r>
      <w:hyperlink r:id="rId8" w:history="1">
        <w:r w:rsidR="000944BB" w:rsidRPr="00AF6201">
          <w:rPr>
            <w:rStyle w:val="Lienhypertexte"/>
            <w:rFonts w:cs="Arial"/>
          </w:rPr>
          <w:t>hid.fr@jw.org</w:t>
        </w:r>
      </w:hyperlink>
    </w:p>
    <w:p w:rsidR="008606EC" w:rsidRPr="008606EC" w:rsidRDefault="008606EC" w:rsidP="008606EC">
      <w:pPr>
        <w:pStyle w:val="Paragraphedeliste"/>
        <w:numPr>
          <w:ilvl w:val="0"/>
          <w:numId w:val="14"/>
        </w:numPr>
        <w:spacing w:after="0" w:line="240" w:lineRule="auto"/>
        <w:ind w:left="567" w:hanging="283"/>
        <w:rPr>
          <w:rFonts w:cs="Arial"/>
          <w:b/>
        </w:rPr>
      </w:pPr>
      <w:r>
        <w:rPr>
          <w:rFonts w:cs="Arial"/>
        </w:rPr>
        <w:t>Article L.1111-3 ; 4 ; 6 et 11</w:t>
      </w:r>
      <w:r w:rsidR="00B961B1">
        <w:rPr>
          <w:rFonts w:cs="Arial"/>
        </w:rPr>
        <w:t xml:space="preserve"> du Code de Santé P</w:t>
      </w:r>
      <w:r>
        <w:rPr>
          <w:rFonts w:cs="Arial"/>
        </w:rPr>
        <w:t>ublique</w:t>
      </w:r>
      <w:r w:rsidR="00B961B1">
        <w:rPr>
          <w:rFonts w:cs="Arial"/>
        </w:rPr>
        <w:t xml:space="preserve"> (CSP)</w:t>
      </w:r>
    </w:p>
    <w:p w:rsidR="00D05538" w:rsidRPr="00D05538" w:rsidRDefault="00D05538" w:rsidP="00D05538">
      <w:pPr>
        <w:pStyle w:val="Paragraphedeliste"/>
        <w:numPr>
          <w:ilvl w:val="0"/>
          <w:numId w:val="14"/>
        </w:numPr>
        <w:spacing w:after="0" w:line="240" w:lineRule="auto"/>
        <w:ind w:left="567" w:hanging="283"/>
        <w:rPr>
          <w:rFonts w:cs="Arial"/>
          <w:b/>
        </w:rPr>
      </w:pPr>
      <w:r w:rsidRPr="00D05538">
        <w:rPr>
          <w:rFonts w:cs="Arial"/>
        </w:rPr>
        <w:t>Association des comités de liaison hospitaliers des témoins de Jéhovah, 20, boulevard de Stalingrad, 92320 Chatillon</w:t>
      </w:r>
    </w:p>
    <w:p w:rsidR="00D05538" w:rsidRPr="00D05538" w:rsidRDefault="00D05538" w:rsidP="00D05538">
      <w:pPr>
        <w:pStyle w:val="Paragraphedeliste"/>
        <w:numPr>
          <w:ilvl w:val="0"/>
          <w:numId w:val="14"/>
        </w:numPr>
        <w:spacing w:after="0" w:line="240" w:lineRule="auto"/>
        <w:ind w:left="567" w:hanging="283"/>
        <w:rPr>
          <w:rFonts w:cs="Arial"/>
          <w:color w:val="666666"/>
        </w:rPr>
      </w:pPr>
      <w:r w:rsidRPr="00D05538">
        <w:rPr>
          <w:rFonts w:cs="Arial"/>
        </w:rPr>
        <w:t xml:space="preserve">Recommandation HAS plasma, plaquettes, CGR. </w:t>
      </w:r>
      <w:hyperlink r:id="rId9" w:history="1">
        <w:r w:rsidRPr="00D05538">
          <w:rPr>
            <w:rFonts w:cs="Arial"/>
            <w:i/>
            <w:iCs/>
            <w:color w:val="0563C1" w:themeColor="hyperlink"/>
            <w:u w:val="single"/>
          </w:rPr>
          <w:t>https://www.has-sante.fr/</w:t>
        </w:r>
      </w:hyperlink>
    </w:p>
    <w:p w:rsidR="00D05538" w:rsidRPr="00D05538" w:rsidRDefault="00D05538" w:rsidP="00D05538">
      <w:pPr>
        <w:pStyle w:val="Paragraphedeliste"/>
        <w:numPr>
          <w:ilvl w:val="0"/>
          <w:numId w:val="14"/>
        </w:numPr>
        <w:spacing w:after="0" w:line="240" w:lineRule="auto"/>
        <w:ind w:left="567" w:hanging="283"/>
        <w:rPr>
          <w:rFonts w:cs="Arial"/>
          <w:color w:val="666666"/>
          <w:lang w:val="en-US"/>
        </w:rPr>
      </w:pPr>
      <w:r w:rsidRPr="00D05538">
        <w:rPr>
          <w:rFonts w:cs="Arial"/>
          <w:lang w:val="en-US"/>
        </w:rPr>
        <w:t xml:space="preserve">Lawson T, </w:t>
      </w:r>
      <w:proofErr w:type="spellStart"/>
      <w:r w:rsidRPr="00D05538">
        <w:rPr>
          <w:rFonts w:cs="Arial"/>
          <w:lang w:val="en-US"/>
        </w:rPr>
        <w:t>RalphC</w:t>
      </w:r>
      <w:proofErr w:type="spellEnd"/>
      <w:r w:rsidRPr="00D05538">
        <w:rPr>
          <w:rFonts w:cs="Arial"/>
          <w:lang w:val="en-US"/>
        </w:rPr>
        <w:t>.</w:t>
      </w:r>
      <w:r w:rsidRPr="00D05538">
        <w:rPr>
          <w:rFonts w:cs="Arial"/>
          <w:color w:val="666666"/>
          <w:lang w:val="en-US"/>
        </w:rPr>
        <w:t xml:space="preserve"> </w:t>
      </w:r>
      <w:r w:rsidRPr="00D05538">
        <w:rPr>
          <w:rFonts w:cs="Arial"/>
          <w:lang w:val="en-US"/>
        </w:rPr>
        <w:t xml:space="preserve">Perioperative Jehovah’s witnesses. Br J </w:t>
      </w:r>
      <w:proofErr w:type="spellStart"/>
      <w:r w:rsidRPr="00D05538">
        <w:rPr>
          <w:rFonts w:cs="Arial"/>
          <w:lang w:val="en-US"/>
        </w:rPr>
        <w:t>Anaesth</w:t>
      </w:r>
      <w:proofErr w:type="spellEnd"/>
      <w:r w:rsidRPr="00D05538">
        <w:rPr>
          <w:rFonts w:cs="Arial"/>
          <w:lang w:val="en-US"/>
        </w:rPr>
        <w:t xml:space="preserve"> 2015; 115:676-87</w:t>
      </w:r>
    </w:p>
    <w:p w:rsidR="00D05538" w:rsidRPr="00ED421C" w:rsidRDefault="00D05538" w:rsidP="00D05538">
      <w:pPr>
        <w:pStyle w:val="Paragraphedeliste"/>
        <w:numPr>
          <w:ilvl w:val="0"/>
          <w:numId w:val="14"/>
        </w:numPr>
        <w:spacing w:after="0" w:line="240" w:lineRule="auto"/>
        <w:ind w:left="567" w:hanging="283"/>
        <w:rPr>
          <w:rFonts w:cs="Arial"/>
          <w:b/>
        </w:rPr>
      </w:pPr>
      <w:proofErr w:type="spellStart"/>
      <w:r w:rsidRPr="00D05538">
        <w:rPr>
          <w:rFonts w:cs="Arial"/>
        </w:rPr>
        <w:t>Gouezec</w:t>
      </w:r>
      <w:proofErr w:type="spellEnd"/>
      <w:r w:rsidRPr="00D05538">
        <w:rPr>
          <w:rFonts w:cs="Arial"/>
        </w:rPr>
        <w:t xml:space="preserve"> H, </w:t>
      </w:r>
      <w:proofErr w:type="spellStart"/>
      <w:r w:rsidRPr="00D05538">
        <w:rPr>
          <w:rFonts w:cs="Arial"/>
        </w:rPr>
        <w:t>Lerenard</w:t>
      </w:r>
      <w:proofErr w:type="spellEnd"/>
      <w:r w:rsidRPr="00D05538">
        <w:rPr>
          <w:rFonts w:cs="Arial"/>
        </w:rPr>
        <w:t xml:space="preserve"> I, Jan S. et al. Perception par les médecins des conditions de prise en charge d’un témoin de Jéhovah. Transfusion clinique et biologique 2016 ; 23, 196-201</w:t>
      </w:r>
    </w:p>
    <w:p w:rsidR="00ED421C" w:rsidRPr="005A57BF" w:rsidRDefault="00ED421C" w:rsidP="00D05538">
      <w:pPr>
        <w:pStyle w:val="Paragraphedeliste"/>
        <w:numPr>
          <w:ilvl w:val="0"/>
          <w:numId w:val="14"/>
        </w:numPr>
        <w:spacing w:after="0" w:line="240" w:lineRule="auto"/>
        <w:ind w:left="567" w:hanging="283"/>
        <w:rPr>
          <w:rFonts w:cs="Arial"/>
          <w:b/>
        </w:rPr>
      </w:pPr>
      <w:r>
        <w:rPr>
          <w:rFonts w:cs="Arial"/>
        </w:rPr>
        <w:t xml:space="preserve">Lienhart A, </w:t>
      </w:r>
      <w:proofErr w:type="spellStart"/>
      <w:r>
        <w:rPr>
          <w:rFonts w:cs="Arial"/>
        </w:rPr>
        <w:t>Vacheron</w:t>
      </w:r>
      <w:proofErr w:type="spellEnd"/>
      <w:r>
        <w:rPr>
          <w:rFonts w:cs="Arial"/>
        </w:rPr>
        <w:t xml:space="preserve"> CH. Refus de la transfusion : le conseil d’état confirme une position constante. </w:t>
      </w:r>
      <w:proofErr w:type="spellStart"/>
      <w:r>
        <w:rPr>
          <w:rFonts w:cs="Arial"/>
        </w:rPr>
        <w:t>Anesth</w:t>
      </w:r>
      <w:proofErr w:type="spellEnd"/>
      <w:r>
        <w:rPr>
          <w:rFonts w:cs="Arial"/>
        </w:rPr>
        <w:t xml:space="preserve"> </w:t>
      </w:r>
      <w:proofErr w:type="spellStart"/>
      <w:r>
        <w:rPr>
          <w:rFonts w:cs="Arial"/>
        </w:rPr>
        <w:t>Reanim</w:t>
      </w:r>
      <w:proofErr w:type="spellEnd"/>
      <w:r>
        <w:rPr>
          <w:rFonts w:cs="Arial"/>
        </w:rPr>
        <w:t xml:space="preserve"> 2023 ;9 :108-110</w:t>
      </w:r>
    </w:p>
    <w:p w:rsidR="005A57BF" w:rsidRPr="005A57BF" w:rsidRDefault="005A57BF" w:rsidP="00D05538">
      <w:pPr>
        <w:pStyle w:val="Paragraphedeliste"/>
        <w:numPr>
          <w:ilvl w:val="0"/>
          <w:numId w:val="14"/>
        </w:numPr>
        <w:spacing w:after="0" w:line="240" w:lineRule="auto"/>
        <w:ind w:left="567" w:hanging="283"/>
        <w:rPr>
          <w:rFonts w:cs="Arial"/>
          <w:b/>
        </w:rPr>
      </w:pPr>
      <w:r>
        <w:rPr>
          <w:rFonts w:cs="Arial"/>
        </w:rPr>
        <w:t>Article 16-3 du code civil</w:t>
      </w:r>
    </w:p>
    <w:p w:rsidR="00470594" w:rsidRDefault="00470594"/>
    <w:p w:rsidR="00470594" w:rsidRDefault="00470594"/>
    <w:p w:rsidR="00470594" w:rsidRDefault="00470594">
      <w:bookmarkStart w:id="0" w:name="_GoBack"/>
      <w:bookmarkEnd w:id="0"/>
    </w:p>
    <w:p w:rsidR="002D2D2D" w:rsidRDefault="002D2D2D"/>
    <w:p w:rsidR="00470594" w:rsidRDefault="00470594"/>
    <w:tbl>
      <w:tblPr>
        <w:tblStyle w:val="TableauGrille4-Accentuation1"/>
        <w:tblpPr w:leftFromText="141" w:rightFromText="141" w:vertAnchor="text" w:horzAnchor="margin" w:tblpY="285"/>
        <w:tblW w:w="0" w:type="auto"/>
        <w:tblLook w:val="04A0" w:firstRow="1" w:lastRow="0" w:firstColumn="1" w:lastColumn="0" w:noHBand="0" w:noVBand="1"/>
      </w:tblPr>
      <w:tblGrid>
        <w:gridCol w:w="2972"/>
        <w:gridCol w:w="3119"/>
        <w:gridCol w:w="2971"/>
      </w:tblGrid>
      <w:tr w:rsidR="00E2356D" w:rsidTr="00554F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E2356D" w:rsidRDefault="00E2356D" w:rsidP="00043281">
            <w:r>
              <w:t>Rédacteur</w:t>
            </w:r>
          </w:p>
        </w:tc>
        <w:tc>
          <w:tcPr>
            <w:tcW w:w="3119"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Vérificateur</w:t>
            </w:r>
          </w:p>
        </w:tc>
        <w:tc>
          <w:tcPr>
            <w:tcW w:w="2971" w:type="dxa"/>
          </w:tcPr>
          <w:p w:rsidR="00E2356D" w:rsidRDefault="00E2356D" w:rsidP="00043281">
            <w:pPr>
              <w:cnfStyle w:val="100000000000" w:firstRow="1" w:lastRow="0" w:firstColumn="0" w:lastColumn="0" w:oddVBand="0" w:evenVBand="0" w:oddHBand="0" w:evenHBand="0" w:firstRowFirstColumn="0" w:firstRowLastColumn="0" w:lastRowFirstColumn="0" w:lastRowLastColumn="0"/>
            </w:pPr>
            <w:r>
              <w:t>Approbateur</w:t>
            </w:r>
          </w:p>
        </w:tc>
      </w:tr>
      <w:tr w:rsidR="00E2356D" w:rsidTr="00554F14">
        <w:trPr>
          <w:cnfStyle w:val="000000100000" w:firstRow="0" w:lastRow="0" w:firstColumn="0" w:lastColumn="0" w:oddVBand="0" w:evenVBand="0" w:oddHBand="1" w:evenHBand="0" w:firstRowFirstColumn="0" w:firstRowLastColumn="0" w:lastRowFirstColumn="0" w:lastRowLastColumn="0"/>
          <w:trHeight w:val="850"/>
        </w:trPr>
        <w:tc>
          <w:tcPr>
            <w:cnfStyle w:val="001000000000" w:firstRow="0" w:lastRow="0" w:firstColumn="1" w:lastColumn="0" w:oddVBand="0" w:evenVBand="0" w:oddHBand="0" w:evenHBand="0" w:firstRowFirstColumn="0" w:firstRowLastColumn="0" w:lastRowFirstColumn="0" w:lastRowLastColumn="0"/>
            <w:tcW w:w="2972" w:type="dxa"/>
          </w:tcPr>
          <w:p w:rsidR="00554F14" w:rsidRPr="00E8629C" w:rsidRDefault="00554F14" w:rsidP="00926B36">
            <w:pPr>
              <w:pStyle w:val="Paragraphedeliste"/>
              <w:numPr>
                <w:ilvl w:val="0"/>
                <w:numId w:val="19"/>
              </w:numPr>
              <w:ind w:left="306" w:hanging="142"/>
              <w:rPr>
                <w:b w:val="0"/>
                <w:sz w:val="18"/>
              </w:rPr>
            </w:pPr>
            <w:proofErr w:type="spellStart"/>
            <w:proofErr w:type="gramStart"/>
            <w:r w:rsidRPr="00E8629C">
              <w:rPr>
                <w:sz w:val="18"/>
              </w:rPr>
              <w:t>Dr.SAPEY</w:t>
            </w:r>
            <w:proofErr w:type="spellEnd"/>
            <w:proofErr w:type="gramEnd"/>
          </w:p>
          <w:p w:rsidR="00554F14" w:rsidRPr="00554F14" w:rsidRDefault="00554F14" w:rsidP="00554F14">
            <w:pPr>
              <w:rPr>
                <w:b w:val="0"/>
                <w:sz w:val="16"/>
              </w:rPr>
            </w:pPr>
            <w:r w:rsidRPr="00554F14">
              <w:rPr>
                <w:b w:val="0"/>
                <w:sz w:val="16"/>
              </w:rPr>
              <w:t>Coordonnateur Régional d’Hémovigilance et de Sécurité Transfusionnelle</w:t>
            </w:r>
          </w:p>
          <w:p w:rsidR="003B2B40" w:rsidRPr="00E8629C" w:rsidRDefault="003B2B40" w:rsidP="00926B36">
            <w:pPr>
              <w:pStyle w:val="Paragraphedeliste"/>
              <w:numPr>
                <w:ilvl w:val="0"/>
                <w:numId w:val="19"/>
              </w:numPr>
              <w:ind w:left="306" w:hanging="142"/>
              <w:rPr>
                <w:sz w:val="18"/>
              </w:rPr>
            </w:pPr>
            <w:r w:rsidRPr="00E8629C">
              <w:rPr>
                <w:sz w:val="18"/>
              </w:rPr>
              <w:t>Service</w:t>
            </w:r>
            <w:r w:rsidR="0077607E" w:rsidRPr="00E8629C">
              <w:rPr>
                <w:sz w:val="18"/>
              </w:rPr>
              <w:t xml:space="preserve"> d’information hospitalier des T</w:t>
            </w:r>
            <w:r w:rsidRPr="00E8629C">
              <w:rPr>
                <w:sz w:val="18"/>
              </w:rPr>
              <w:t>émoins de Jéhovah</w:t>
            </w:r>
          </w:p>
        </w:tc>
        <w:tc>
          <w:tcPr>
            <w:tcW w:w="3119"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Default="00E2356D" w:rsidP="00043281">
            <w:pPr>
              <w:cnfStyle w:val="000000100000" w:firstRow="0" w:lastRow="0" w:firstColumn="0" w:lastColumn="0" w:oddVBand="0" w:evenVBand="0" w:oddHBand="1" w:evenHBand="0" w:firstRowFirstColumn="0" w:firstRowLastColumn="0" w:lastRowFirstColumn="0" w:lastRowLastColumn="0"/>
              <w:rPr>
                <w:sz w:val="16"/>
              </w:rPr>
            </w:pPr>
            <w:r w:rsidRPr="00E77183">
              <w:rPr>
                <w:sz w:val="16"/>
              </w:rPr>
              <w:t>Coordonnateur Régional d’Hémovigilance et de Sécurité Transfusionnelle</w:t>
            </w:r>
          </w:p>
          <w:p w:rsidR="00554F14" w:rsidRPr="00554F14"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sidRPr="00554F14">
              <w:rPr>
                <w:b/>
                <w:sz w:val="18"/>
              </w:rPr>
              <w:t>Mme Marjorie BLIN</w:t>
            </w:r>
          </w:p>
          <w:p w:rsidR="00554F14" w:rsidRPr="00F72E1E" w:rsidRDefault="00554F14" w:rsidP="00554F14">
            <w:pPr>
              <w:cnfStyle w:val="000000100000" w:firstRow="0" w:lastRow="0" w:firstColumn="0" w:lastColumn="0" w:oddVBand="0" w:evenVBand="0" w:oddHBand="1" w:evenHBand="0" w:firstRowFirstColumn="0" w:firstRowLastColumn="0" w:lastRowFirstColumn="0" w:lastRowLastColumn="0"/>
              <w:rPr>
                <w:b/>
                <w:sz w:val="18"/>
              </w:rPr>
            </w:pPr>
            <w:r>
              <w:rPr>
                <w:sz w:val="16"/>
              </w:rPr>
              <w:t>Assistante</w:t>
            </w:r>
          </w:p>
        </w:tc>
        <w:tc>
          <w:tcPr>
            <w:tcW w:w="2971" w:type="dxa"/>
          </w:tcPr>
          <w:p w:rsidR="00E2356D" w:rsidRPr="00F72E1E" w:rsidRDefault="00E2356D" w:rsidP="00043281">
            <w:pPr>
              <w:cnfStyle w:val="000000100000" w:firstRow="0" w:lastRow="0" w:firstColumn="0" w:lastColumn="0" w:oddVBand="0" w:evenVBand="0" w:oddHBand="1" w:evenHBand="0" w:firstRowFirstColumn="0" w:firstRowLastColumn="0" w:lastRowFirstColumn="0" w:lastRowLastColumn="0"/>
              <w:rPr>
                <w:b/>
                <w:sz w:val="18"/>
              </w:rPr>
            </w:pPr>
            <w:proofErr w:type="spellStart"/>
            <w:proofErr w:type="gramStart"/>
            <w:r w:rsidRPr="00F72E1E">
              <w:rPr>
                <w:b/>
                <w:sz w:val="18"/>
              </w:rPr>
              <w:t>Dr.SAPEY</w:t>
            </w:r>
            <w:proofErr w:type="spellEnd"/>
            <w:proofErr w:type="gramEnd"/>
          </w:p>
          <w:p w:rsidR="00E2356D" w:rsidRPr="00E77183" w:rsidRDefault="00E2356D" w:rsidP="00043281">
            <w:pPr>
              <w:cnfStyle w:val="000000100000" w:firstRow="0" w:lastRow="0" w:firstColumn="0" w:lastColumn="0" w:oddVBand="0" w:evenVBand="0" w:oddHBand="1" w:evenHBand="0" w:firstRowFirstColumn="0" w:firstRowLastColumn="0" w:lastRowFirstColumn="0" w:lastRowLastColumn="0"/>
              <w:rPr>
                <w:sz w:val="18"/>
              </w:rPr>
            </w:pPr>
            <w:r w:rsidRPr="00E77183">
              <w:rPr>
                <w:sz w:val="16"/>
              </w:rPr>
              <w:t>Coordonnateur Régional d’Hémovigilance et de Sécurité Transfusionnelle</w:t>
            </w:r>
          </w:p>
        </w:tc>
      </w:tr>
    </w:tbl>
    <w:p w:rsidR="00470594" w:rsidRDefault="00470594"/>
    <w:p w:rsidR="002D2D2D" w:rsidRDefault="002D2D2D" w:rsidP="00D05538">
      <w:pPr>
        <w:contextualSpacing/>
        <w:rPr>
          <w:rFonts w:ascii="Calibri" w:hAnsi="Calibri"/>
          <w:b/>
          <w:i/>
          <w:sz w:val="24"/>
          <w:u w:val="single"/>
        </w:rPr>
      </w:pPr>
    </w:p>
    <w:p w:rsidR="00D05538" w:rsidRPr="00D05538" w:rsidRDefault="00D05538" w:rsidP="00D05538">
      <w:pPr>
        <w:contextualSpacing/>
        <w:rPr>
          <w:rFonts w:ascii="Calibri" w:hAnsi="Calibri"/>
          <w:b/>
          <w:i/>
          <w:sz w:val="24"/>
          <w:u w:val="single"/>
        </w:rPr>
      </w:pPr>
      <w:r w:rsidRPr="00D05538">
        <w:rPr>
          <w:rFonts w:ascii="Calibri" w:hAnsi="Calibri"/>
          <w:b/>
          <w:i/>
          <w:sz w:val="24"/>
          <w:u w:val="single"/>
        </w:rPr>
        <w:t>Introduction</w:t>
      </w:r>
    </w:p>
    <w:p w:rsidR="00D05538" w:rsidRPr="00D05538" w:rsidRDefault="00D05538" w:rsidP="00D05538">
      <w:pPr>
        <w:ind w:left="1068"/>
        <w:contextualSpacing/>
        <w:rPr>
          <w:rFonts w:ascii="Calibri" w:hAnsi="Calibri"/>
        </w:rPr>
      </w:pPr>
    </w:p>
    <w:p w:rsidR="00D05538" w:rsidRDefault="00D05538" w:rsidP="00D05538">
      <w:pPr>
        <w:tabs>
          <w:tab w:val="left" w:pos="3510"/>
          <w:tab w:val="left" w:leader="dot" w:pos="5400"/>
        </w:tabs>
        <w:ind w:left="291" w:right="288" w:firstLine="283"/>
        <w:rPr>
          <w:rFonts w:cs="Arial"/>
          <w:szCs w:val="20"/>
        </w:rPr>
      </w:pPr>
      <w:r w:rsidRPr="00D05538">
        <w:rPr>
          <w:rFonts w:cs="Arial"/>
          <w:szCs w:val="20"/>
        </w:rPr>
        <w:t>Les convictions religieuses des témoins de Jéhovah les conduisent à refuser l’administration de sang hétérologue, de certains produits dérivés du sang ainsi que de certaines techniques d’épargne sanguine.</w:t>
      </w:r>
    </w:p>
    <w:p w:rsidR="00D05538" w:rsidRPr="00D05538" w:rsidRDefault="00D05538" w:rsidP="00D05538">
      <w:pPr>
        <w:tabs>
          <w:tab w:val="left" w:pos="3510"/>
          <w:tab w:val="left" w:leader="dot" w:pos="5400"/>
        </w:tabs>
        <w:ind w:left="291" w:right="288" w:firstLine="283"/>
        <w:jc w:val="both"/>
        <w:rPr>
          <w:rFonts w:cs="Arial"/>
          <w:szCs w:val="20"/>
        </w:rPr>
      </w:pPr>
    </w:p>
    <w:p w:rsidR="000944BB" w:rsidRPr="00AB2D63" w:rsidRDefault="000944BB" w:rsidP="000944BB">
      <w:pPr>
        <w:tabs>
          <w:tab w:val="left" w:pos="3510"/>
          <w:tab w:val="left" w:leader="dot" w:pos="5400"/>
        </w:tabs>
        <w:jc w:val="both"/>
        <w:rPr>
          <w:rFonts w:cstheme="minorHAnsi"/>
          <w:b/>
          <w:i/>
          <w:sz w:val="24"/>
          <w:szCs w:val="20"/>
          <w:u w:val="single"/>
        </w:rPr>
      </w:pPr>
      <w:r w:rsidRPr="00AB2D63">
        <w:rPr>
          <w:rFonts w:cstheme="minorHAnsi"/>
          <w:b/>
          <w:i/>
          <w:sz w:val="24"/>
          <w:szCs w:val="20"/>
          <w:u w:val="single"/>
        </w:rPr>
        <w:t>Quels sont les produits acceptés</w:t>
      </w:r>
      <w:r w:rsidR="00BC2062" w:rsidRPr="00AB2D63">
        <w:rPr>
          <w:rFonts w:cstheme="minorHAnsi"/>
          <w:b/>
          <w:i/>
          <w:sz w:val="24"/>
          <w:szCs w:val="20"/>
          <w:u w:val="single"/>
        </w:rPr>
        <w:t>/refusés</w:t>
      </w:r>
      <w:r w:rsidRPr="00AB2D63">
        <w:rPr>
          <w:rFonts w:cstheme="minorHAnsi"/>
          <w:b/>
          <w:i/>
          <w:sz w:val="24"/>
          <w:szCs w:val="20"/>
          <w:u w:val="single"/>
        </w:rPr>
        <w:t xml:space="preserve"> par les patients Témoins de Jéhovah :</w:t>
      </w:r>
    </w:p>
    <w:p w:rsidR="000944BB" w:rsidRPr="00AF6201" w:rsidRDefault="00BC2062" w:rsidP="000944BB">
      <w:pPr>
        <w:tabs>
          <w:tab w:val="left" w:pos="3510"/>
          <w:tab w:val="left" w:leader="dot" w:pos="5400"/>
        </w:tabs>
        <w:ind w:left="291" w:right="288" w:firstLine="283"/>
        <w:jc w:val="both"/>
        <w:rPr>
          <w:rFonts w:cs="Arial"/>
          <w:szCs w:val="20"/>
        </w:rPr>
      </w:pPr>
      <w:r w:rsidRPr="00AF6201">
        <w:rPr>
          <w:rFonts w:cs="Arial"/>
          <w:i/>
          <w:color w:val="FF0000"/>
          <w:szCs w:val="20"/>
          <w:u w:val="single"/>
        </w:rPr>
        <w:t>Refus par l</w:t>
      </w:r>
      <w:r w:rsidR="000944BB" w:rsidRPr="00AF6201">
        <w:rPr>
          <w:rFonts w:cs="Arial"/>
          <w:i/>
          <w:color w:val="FF0000"/>
          <w:szCs w:val="20"/>
          <w:u w:val="single"/>
        </w:rPr>
        <w:t xml:space="preserve">e patient </w:t>
      </w:r>
      <w:r w:rsidRPr="00AF6201">
        <w:rPr>
          <w:rFonts w:cs="Arial"/>
          <w:i/>
          <w:color w:val="FF0000"/>
          <w:szCs w:val="20"/>
          <w:u w:val="single"/>
        </w:rPr>
        <w:t>témoins de Jéhovah</w:t>
      </w:r>
      <w:r w:rsidR="000944BB" w:rsidRPr="00AF6201">
        <w:rPr>
          <w:rFonts w:cs="Arial"/>
          <w:szCs w:val="20"/>
        </w:rPr>
        <w:t xml:space="preserve">: Transfusion </w:t>
      </w:r>
      <w:r w:rsidR="00AB2D63" w:rsidRPr="00AF6201">
        <w:rPr>
          <w:rFonts w:cs="Arial"/>
          <w:szCs w:val="20"/>
        </w:rPr>
        <w:t>allo génique</w:t>
      </w:r>
      <w:r w:rsidR="000944BB" w:rsidRPr="00AF6201">
        <w:rPr>
          <w:rFonts w:cs="Arial"/>
          <w:szCs w:val="20"/>
        </w:rPr>
        <w:t xml:space="preserve"> de </w:t>
      </w:r>
      <w:r w:rsidR="00AB2D63">
        <w:rPr>
          <w:rFonts w:cs="Arial"/>
          <w:szCs w:val="20"/>
        </w:rPr>
        <w:t>sang total, CGR, plaquettes, plasma frais congelé</w:t>
      </w:r>
      <w:r w:rsidR="000944BB" w:rsidRPr="00AF6201">
        <w:rPr>
          <w:rFonts w:cs="Arial"/>
          <w:szCs w:val="20"/>
        </w:rPr>
        <w:t>, le prélèvement préopératoire et le stockage du sang en vue de la transfusion autologue différée.</w:t>
      </w:r>
    </w:p>
    <w:p w:rsidR="000944BB" w:rsidRDefault="00BC2062" w:rsidP="000944BB">
      <w:pPr>
        <w:tabs>
          <w:tab w:val="left" w:pos="3510"/>
          <w:tab w:val="left" w:leader="dot" w:pos="5400"/>
        </w:tabs>
        <w:ind w:left="291" w:right="288" w:firstLine="283"/>
        <w:jc w:val="both"/>
      </w:pPr>
      <w:r w:rsidRPr="00AF6201">
        <w:rPr>
          <w:rFonts w:cs="Arial"/>
          <w:i/>
          <w:color w:val="FF0000"/>
          <w:szCs w:val="20"/>
          <w:u w:val="single"/>
        </w:rPr>
        <w:t>Accord du</w:t>
      </w:r>
      <w:r w:rsidR="000944BB" w:rsidRPr="00AF6201">
        <w:rPr>
          <w:rFonts w:cs="Arial"/>
          <w:i/>
          <w:color w:val="FF0000"/>
          <w:szCs w:val="20"/>
          <w:u w:val="single"/>
        </w:rPr>
        <w:t xml:space="preserve"> patient </w:t>
      </w:r>
      <w:r w:rsidRPr="00AF6201">
        <w:rPr>
          <w:rFonts w:cs="Arial"/>
          <w:i/>
          <w:color w:val="FF0000"/>
          <w:szCs w:val="20"/>
          <w:u w:val="single"/>
        </w:rPr>
        <w:t>témoins de Jéhovah</w:t>
      </w:r>
      <w:r w:rsidR="000944BB" w:rsidRPr="00AF6201">
        <w:rPr>
          <w:rFonts w:cs="Arial"/>
          <w:szCs w:val="20"/>
        </w:rPr>
        <w:t>:</w:t>
      </w:r>
      <w:r w:rsidR="000944BB" w:rsidRPr="00D05538">
        <w:rPr>
          <w:rFonts w:cs="Arial"/>
          <w:szCs w:val="20"/>
        </w:rPr>
        <w:t xml:space="preserve"> Remplissage vasculaire : cristalloïdes, colloïdes synthétiques ; CEC, </w:t>
      </w:r>
      <w:proofErr w:type="spellStart"/>
      <w:r w:rsidR="000944BB" w:rsidRPr="00D05538">
        <w:rPr>
          <w:rFonts w:cs="Arial"/>
          <w:szCs w:val="20"/>
        </w:rPr>
        <w:t>cell</w:t>
      </w:r>
      <w:proofErr w:type="spellEnd"/>
      <w:r w:rsidR="000944BB" w:rsidRPr="00D05538">
        <w:rPr>
          <w:rFonts w:cs="Arial"/>
          <w:szCs w:val="20"/>
        </w:rPr>
        <w:t xml:space="preserve"> </w:t>
      </w:r>
      <w:proofErr w:type="spellStart"/>
      <w:r w:rsidR="000944BB" w:rsidRPr="00D05538">
        <w:rPr>
          <w:rFonts w:cs="Arial"/>
          <w:szCs w:val="20"/>
        </w:rPr>
        <w:t>saver</w:t>
      </w:r>
      <w:proofErr w:type="spellEnd"/>
      <w:r w:rsidR="000944BB">
        <w:rPr>
          <w:rFonts w:cs="Arial"/>
          <w:szCs w:val="20"/>
        </w:rPr>
        <w:t xml:space="preserve">, </w:t>
      </w:r>
      <w:r w:rsidR="000944BB" w:rsidRPr="00D05538">
        <w:rPr>
          <w:rFonts w:cs="Arial"/>
          <w:szCs w:val="20"/>
        </w:rPr>
        <w:t>Albumine, Immunoglobuline IV, fibrinogène, facteurs de coagulatio</w:t>
      </w:r>
      <w:r w:rsidR="000944BB">
        <w:rPr>
          <w:rFonts w:cs="Arial"/>
          <w:szCs w:val="20"/>
        </w:rPr>
        <w:t>n, etc… (</w:t>
      </w:r>
      <w:r w:rsidR="000944BB">
        <w:t>la liste des produits pouvant être acceptés n’est pas exhaustive)</w:t>
      </w:r>
    </w:p>
    <w:p w:rsidR="00AF6201" w:rsidRPr="00D05538" w:rsidRDefault="00AF6201" w:rsidP="000944BB">
      <w:pPr>
        <w:tabs>
          <w:tab w:val="left" w:pos="3510"/>
          <w:tab w:val="left" w:leader="dot" w:pos="5400"/>
        </w:tabs>
        <w:ind w:left="291" w:right="288" w:firstLine="283"/>
        <w:jc w:val="both"/>
        <w:rPr>
          <w:rFonts w:cs="Arial"/>
          <w:szCs w:val="20"/>
        </w:rPr>
      </w:pPr>
    </w:p>
    <w:p w:rsidR="00D05538" w:rsidRDefault="000944BB" w:rsidP="00D05538">
      <w:pPr>
        <w:tabs>
          <w:tab w:val="left" w:pos="3510"/>
          <w:tab w:val="left" w:leader="dot" w:pos="5400"/>
        </w:tabs>
        <w:jc w:val="both"/>
        <w:rPr>
          <w:rFonts w:cs="Arial"/>
          <w:szCs w:val="20"/>
        </w:rPr>
      </w:pPr>
      <w:r w:rsidRPr="00B748CB">
        <w:rPr>
          <w:rFonts w:cs="Arial"/>
          <w:noProof/>
          <w:szCs w:val="20"/>
          <w:lang w:eastAsia="fr-FR"/>
        </w:rPr>
        <w:drawing>
          <wp:inline distT="0" distB="0" distL="0" distR="0" wp14:anchorId="5A3856B7" wp14:editId="3E639EC5">
            <wp:extent cx="5760720" cy="2183765"/>
            <wp:effectExtent l="0" t="0" r="0" b="698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60720" cy="2183765"/>
                    </a:xfrm>
                    <a:prstGeom prst="rect">
                      <a:avLst/>
                    </a:prstGeom>
                  </pic:spPr>
                </pic:pic>
              </a:graphicData>
            </a:graphic>
          </wp:inline>
        </w:drawing>
      </w:r>
    </w:p>
    <w:p w:rsidR="000944BB" w:rsidRDefault="000944BB" w:rsidP="00D05538">
      <w:pPr>
        <w:tabs>
          <w:tab w:val="left" w:pos="3510"/>
          <w:tab w:val="left" w:leader="dot" w:pos="5400"/>
        </w:tabs>
        <w:jc w:val="both"/>
        <w:rPr>
          <w:rFonts w:cs="Arial"/>
          <w:szCs w:val="20"/>
        </w:rPr>
      </w:pPr>
    </w:p>
    <w:p w:rsidR="000944BB" w:rsidRPr="00D05538" w:rsidRDefault="000944BB" w:rsidP="00D05538">
      <w:pPr>
        <w:tabs>
          <w:tab w:val="left" w:pos="3510"/>
          <w:tab w:val="left" w:leader="dot" w:pos="5400"/>
        </w:tabs>
        <w:jc w:val="both"/>
        <w:rPr>
          <w:rFonts w:cs="Arial"/>
          <w:szCs w:val="20"/>
        </w:rPr>
      </w:pPr>
      <w:r>
        <w:rPr>
          <w:rFonts w:cs="Arial"/>
          <w:szCs w:val="20"/>
        </w:rPr>
        <w:lastRenderedPageBreak/>
        <w:t>(</w:t>
      </w:r>
      <w:r w:rsidR="00BC2062" w:rsidRPr="00AB2D63">
        <w:rPr>
          <w:rFonts w:cs="Arial"/>
          <w:i/>
          <w:sz w:val="20"/>
          <w:szCs w:val="20"/>
        </w:rPr>
        <w:t>Extrait du</w:t>
      </w:r>
      <w:r w:rsidRPr="00AB2D63">
        <w:rPr>
          <w:rFonts w:cs="Arial"/>
          <w:i/>
          <w:sz w:val="20"/>
          <w:szCs w:val="20"/>
        </w:rPr>
        <w:t xml:space="preserve"> document</w:t>
      </w:r>
      <w:r w:rsidRPr="00AB2D63">
        <w:rPr>
          <w:rFonts w:cs="Arial"/>
          <w:sz w:val="20"/>
          <w:szCs w:val="20"/>
        </w:rPr>
        <w:t> </w:t>
      </w:r>
      <w:r>
        <w:rPr>
          <w:rFonts w:cs="Arial"/>
          <w:szCs w:val="20"/>
        </w:rPr>
        <w:t xml:space="preserve">: </w:t>
      </w:r>
      <w:hyperlink r:id="rId11" w:history="1">
        <w:r>
          <w:rPr>
            <w:rStyle w:val="Lienhypertexte"/>
          </w:rPr>
          <w:t>Position religieuse et éthique sur les traitements médicaux et les questions analogues (jw.org)</w:t>
        </w:r>
      </w:hyperlink>
      <w:r>
        <w:t>)</w:t>
      </w:r>
    </w:p>
    <w:p w:rsidR="00D05538" w:rsidRDefault="00D05538" w:rsidP="00D05538">
      <w:pPr>
        <w:tabs>
          <w:tab w:val="left" w:pos="3510"/>
          <w:tab w:val="left" w:leader="dot" w:pos="5400"/>
        </w:tabs>
        <w:ind w:right="288" w:firstLine="142"/>
        <w:rPr>
          <w:rFonts w:cs="Arial"/>
          <w:szCs w:val="20"/>
        </w:rPr>
      </w:pPr>
      <w:r w:rsidRPr="00D05538">
        <w:rPr>
          <w:rFonts w:cs="Arial"/>
          <w:szCs w:val="20"/>
        </w:rPr>
        <w:t xml:space="preserve">Ce qui importe </w:t>
      </w:r>
      <w:r w:rsidR="00BC2062">
        <w:rPr>
          <w:rFonts w:cs="Arial"/>
          <w:szCs w:val="20"/>
        </w:rPr>
        <w:t>c’</w:t>
      </w:r>
      <w:r w:rsidRPr="00D05538">
        <w:rPr>
          <w:rFonts w:cs="Arial"/>
          <w:szCs w:val="20"/>
        </w:rPr>
        <w:t xml:space="preserve">est </w:t>
      </w:r>
      <w:r w:rsidRPr="00AB2D63">
        <w:rPr>
          <w:rFonts w:cs="Arial"/>
          <w:b/>
          <w:szCs w:val="20"/>
        </w:rPr>
        <w:t>l’assurance que le sang fasse toujours partie de l’organisme</w:t>
      </w:r>
      <w:r w:rsidRPr="00D05538">
        <w:rPr>
          <w:rFonts w:cs="Arial"/>
          <w:szCs w:val="20"/>
        </w:rPr>
        <w:t>, même par le biais d’une extension artificielle du système circulatoire comme la CEC. Les facteurs de coagulation et l’EPO obtenus par génie génétique sont acceptés puisqu’ils ne sont pas d’origine humaine.</w:t>
      </w:r>
    </w:p>
    <w:p w:rsidR="00E6613C" w:rsidRPr="0001006F" w:rsidRDefault="00BC2062" w:rsidP="00E6613C">
      <w:pPr>
        <w:jc w:val="both"/>
      </w:pPr>
      <w:r w:rsidRPr="00AF6201">
        <w:t xml:space="preserve">Un entretien par les professionnels de santé avec chaque patient est </w:t>
      </w:r>
      <w:r w:rsidR="00AB2D63" w:rsidRPr="00AB2D63">
        <w:rPr>
          <w:u w:val="single"/>
        </w:rPr>
        <w:t>INDISPENSABLE</w:t>
      </w:r>
      <w:r w:rsidR="00AB2D63">
        <w:t xml:space="preserve"> </w:t>
      </w:r>
      <w:r w:rsidRPr="00AF6201">
        <w:t>pour connaître les produits et techniques acceptés et</w:t>
      </w:r>
      <w:r w:rsidR="001F5A1F">
        <w:t>/</w:t>
      </w:r>
      <w:r w:rsidRPr="00AF6201">
        <w:t xml:space="preserve">ou refusés. </w:t>
      </w:r>
    </w:p>
    <w:p w:rsidR="00E6613C" w:rsidRDefault="00E6613C" w:rsidP="00E6613C">
      <w:pPr>
        <w:jc w:val="both"/>
      </w:pPr>
    </w:p>
    <w:p w:rsidR="00E6613C" w:rsidRDefault="00E6613C" w:rsidP="00D05538">
      <w:pPr>
        <w:tabs>
          <w:tab w:val="left" w:pos="3510"/>
          <w:tab w:val="left" w:leader="dot" w:pos="5400"/>
        </w:tabs>
        <w:ind w:right="288" w:firstLine="142"/>
        <w:rPr>
          <w:rFonts w:cs="Arial"/>
          <w:szCs w:val="20"/>
        </w:rPr>
      </w:pPr>
    </w:p>
    <w:p w:rsidR="00BC2062" w:rsidRPr="00D05538" w:rsidRDefault="00BC2062" w:rsidP="00D05538">
      <w:pPr>
        <w:tabs>
          <w:tab w:val="left" w:pos="3510"/>
          <w:tab w:val="left" w:leader="dot" w:pos="5400"/>
        </w:tabs>
        <w:ind w:right="288" w:firstLine="142"/>
        <w:rPr>
          <w:rFonts w:cs="Arial"/>
          <w:szCs w:val="20"/>
        </w:rPr>
      </w:pPr>
    </w:p>
    <w:p w:rsidR="00D05538" w:rsidRPr="00D05538" w:rsidRDefault="00D05538" w:rsidP="00D05538">
      <w:pPr>
        <w:ind w:left="1560"/>
        <w:rPr>
          <w:rFonts w:ascii="Calibri" w:hAnsi="Calibri"/>
        </w:rPr>
      </w:pPr>
    </w:p>
    <w:p w:rsidR="00D05538" w:rsidRPr="00AB2D63" w:rsidRDefault="00D05538" w:rsidP="00D05538">
      <w:pPr>
        <w:contextualSpacing/>
        <w:rPr>
          <w:rFonts w:ascii="Calibri" w:hAnsi="Calibri"/>
          <w:b/>
          <w:i/>
          <w:u w:val="single"/>
        </w:rPr>
      </w:pPr>
      <w:r w:rsidRPr="00AB2D63">
        <w:rPr>
          <w:rFonts w:ascii="Calibri" w:hAnsi="Calibri"/>
          <w:b/>
          <w:i/>
          <w:sz w:val="24"/>
          <w:u w:val="single"/>
        </w:rPr>
        <w:t>Prise en charge en dehors de l’urgence</w:t>
      </w:r>
    </w:p>
    <w:p w:rsidR="00D05538" w:rsidRPr="00D05538" w:rsidRDefault="00D05538" w:rsidP="00D05538">
      <w:pPr>
        <w:ind w:left="1068"/>
        <w:contextualSpacing/>
        <w:rPr>
          <w:rFonts w:ascii="Calibri" w:hAnsi="Calibri"/>
          <w:i/>
          <w:color w:val="5F497A"/>
          <w:sz w:val="24"/>
          <w:u w:val="single"/>
        </w:rPr>
      </w:pPr>
    </w:p>
    <w:p w:rsidR="00D05538" w:rsidRDefault="00D05538" w:rsidP="00AB2D63">
      <w:pPr>
        <w:pStyle w:val="Paragraphedeliste"/>
        <w:numPr>
          <w:ilvl w:val="0"/>
          <w:numId w:val="15"/>
        </w:numPr>
        <w:tabs>
          <w:tab w:val="left" w:pos="3510"/>
          <w:tab w:val="left" w:leader="dot" w:pos="5400"/>
        </w:tabs>
        <w:spacing w:line="276" w:lineRule="auto"/>
        <w:ind w:right="288"/>
        <w:rPr>
          <w:rFonts w:cs="Arial"/>
          <w:szCs w:val="20"/>
        </w:rPr>
      </w:pPr>
      <w:r w:rsidRPr="00AB2D63">
        <w:rPr>
          <w:rFonts w:cs="Arial"/>
          <w:szCs w:val="20"/>
        </w:rPr>
        <w:t>Il est</w:t>
      </w:r>
      <w:r w:rsidRPr="00AB2D63">
        <w:rPr>
          <w:rFonts w:cs="Arial"/>
          <w:szCs w:val="20"/>
          <w:u w:val="single"/>
        </w:rPr>
        <w:t xml:space="preserve"> important</w:t>
      </w:r>
      <w:r w:rsidRPr="00AB2D63">
        <w:rPr>
          <w:rFonts w:cs="Arial"/>
          <w:szCs w:val="20"/>
        </w:rPr>
        <w:t xml:space="preserve"> que le patient soit informé du risque de transfusion lors de l’entretien qui devra être pluridisciplinaire (anesthésiste, chirurgien, médecin…)</w:t>
      </w:r>
    </w:p>
    <w:p w:rsidR="00AB2D63" w:rsidRPr="00AB2D63" w:rsidRDefault="00AB2D63" w:rsidP="00AB2D63">
      <w:pPr>
        <w:pStyle w:val="Paragraphedeliste"/>
        <w:tabs>
          <w:tab w:val="left" w:pos="3510"/>
          <w:tab w:val="left" w:leader="dot" w:pos="5400"/>
        </w:tabs>
        <w:spacing w:line="276" w:lineRule="auto"/>
        <w:ind w:right="288"/>
        <w:rPr>
          <w:rFonts w:cs="Arial"/>
          <w:szCs w:val="20"/>
        </w:rPr>
      </w:pPr>
    </w:p>
    <w:p w:rsidR="00D05538" w:rsidRDefault="00D05538" w:rsidP="00AB2D63">
      <w:pPr>
        <w:pStyle w:val="Paragraphedeliste"/>
        <w:numPr>
          <w:ilvl w:val="0"/>
          <w:numId w:val="15"/>
        </w:numPr>
        <w:tabs>
          <w:tab w:val="left" w:pos="3510"/>
          <w:tab w:val="left" w:leader="dot" w:pos="5400"/>
        </w:tabs>
        <w:spacing w:line="276" w:lineRule="auto"/>
        <w:ind w:right="288"/>
        <w:rPr>
          <w:rFonts w:cs="Arial"/>
          <w:szCs w:val="20"/>
        </w:rPr>
      </w:pPr>
      <w:r w:rsidRPr="00AB2D63">
        <w:rPr>
          <w:rFonts w:cs="Arial"/>
          <w:szCs w:val="20"/>
        </w:rPr>
        <w:t>L’information donnée lors de cet entretien doit être loyale, claire, adaptée au patient et va porter sur les risques fréquents ou</w:t>
      </w:r>
      <w:r w:rsidR="00AB2D63">
        <w:rPr>
          <w:rFonts w:cs="Arial"/>
          <w:szCs w:val="20"/>
        </w:rPr>
        <w:t xml:space="preserve"> graves normalement prévisibles</w:t>
      </w:r>
    </w:p>
    <w:p w:rsidR="00AB2D63" w:rsidRPr="00AB2D63" w:rsidRDefault="00AB2D63" w:rsidP="00AB2D63">
      <w:pPr>
        <w:pStyle w:val="Paragraphedeliste"/>
        <w:tabs>
          <w:tab w:val="left" w:pos="3510"/>
          <w:tab w:val="left" w:leader="dot" w:pos="5400"/>
        </w:tabs>
        <w:spacing w:line="276" w:lineRule="auto"/>
        <w:ind w:right="288"/>
        <w:rPr>
          <w:rFonts w:cs="Arial"/>
          <w:szCs w:val="20"/>
        </w:rPr>
      </w:pPr>
    </w:p>
    <w:p w:rsidR="00D05538" w:rsidRDefault="00D05538" w:rsidP="00AB2D63">
      <w:pPr>
        <w:pStyle w:val="Paragraphedeliste"/>
        <w:numPr>
          <w:ilvl w:val="0"/>
          <w:numId w:val="15"/>
        </w:numPr>
        <w:tabs>
          <w:tab w:val="left" w:pos="3510"/>
          <w:tab w:val="left" w:leader="dot" w:pos="5400"/>
        </w:tabs>
        <w:spacing w:line="240" w:lineRule="auto"/>
        <w:ind w:right="288"/>
        <w:rPr>
          <w:rFonts w:cs="Arial"/>
          <w:szCs w:val="20"/>
        </w:rPr>
      </w:pPr>
      <w:r w:rsidRPr="00AB2D63">
        <w:rPr>
          <w:rFonts w:cs="Arial"/>
          <w:szCs w:val="20"/>
        </w:rPr>
        <w:t xml:space="preserve">Le patient doit pouvoir </w:t>
      </w:r>
      <w:r w:rsidR="001A018F" w:rsidRPr="00AB2D63">
        <w:rPr>
          <w:rFonts w:cs="Arial"/>
          <w:szCs w:val="20"/>
        </w:rPr>
        <w:t xml:space="preserve">exprimer </w:t>
      </w:r>
      <w:r w:rsidR="001A018F" w:rsidRPr="00AB2D63">
        <w:rPr>
          <w:rFonts w:cs="Arial"/>
          <w:szCs w:val="20"/>
          <w:u w:val="single"/>
        </w:rPr>
        <w:t>librement</w:t>
      </w:r>
      <w:r w:rsidR="00BC2062" w:rsidRPr="00AB2D63">
        <w:rPr>
          <w:rFonts w:cs="Arial"/>
          <w:szCs w:val="20"/>
        </w:rPr>
        <w:t xml:space="preserve"> </w:t>
      </w:r>
      <w:r w:rsidR="001A018F" w:rsidRPr="00AB2D63">
        <w:rPr>
          <w:rFonts w:cs="Arial"/>
          <w:szCs w:val="20"/>
        </w:rPr>
        <w:t>ses croyances</w:t>
      </w:r>
      <w:r w:rsidRPr="00AB2D63">
        <w:rPr>
          <w:rFonts w:cs="Arial"/>
          <w:szCs w:val="20"/>
        </w:rPr>
        <w:t xml:space="preserve"> et exposer clairement ses choix pour les techniques ou p</w:t>
      </w:r>
      <w:r w:rsidR="001A018F" w:rsidRPr="00AB2D63">
        <w:rPr>
          <w:rFonts w:cs="Arial"/>
          <w:szCs w:val="20"/>
        </w:rPr>
        <w:t>roduits qu’il accepte ou refuse</w:t>
      </w:r>
    </w:p>
    <w:p w:rsidR="00AB2D63" w:rsidRPr="00AB2D63" w:rsidRDefault="00AB2D63" w:rsidP="00AB2D63">
      <w:pPr>
        <w:pStyle w:val="Paragraphedeliste"/>
        <w:tabs>
          <w:tab w:val="left" w:pos="3510"/>
          <w:tab w:val="left" w:leader="dot" w:pos="5400"/>
        </w:tabs>
        <w:spacing w:line="240" w:lineRule="auto"/>
        <w:ind w:right="288"/>
        <w:rPr>
          <w:rFonts w:cs="Arial"/>
          <w:szCs w:val="20"/>
        </w:rPr>
      </w:pPr>
    </w:p>
    <w:p w:rsidR="001A018F" w:rsidRDefault="008D59AB" w:rsidP="00AB2D63">
      <w:pPr>
        <w:pStyle w:val="Paragraphedeliste"/>
        <w:numPr>
          <w:ilvl w:val="0"/>
          <w:numId w:val="15"/>
        </w:numPr>
        <w:jc w:val="both"/>
      </w:pPr>
      <w:r w:rsidRPr="00AB2D63">
        <w:rPr>
          <w:u w:val="single"/>
        </w:rPr>
        <w:t>Lorsqu’un patient refuse un traitement</w:t>
      </w:r>
      <w:r w:rsidRPr="00092007">
        <w:t>, il peut mettre par écrit ce refus dans des directives anticipées</w:t>
      </w:r>
      <w:r w:rsidR="00BC2062" w:rsidRPr="00092007">
        <w:t>,</w:t>
      </w:r>
      <w:r w:rsidRPr="00092007">
        <w:t xml:space="preserve"> qui s’imposent au médecin (art L111-11 alinéa 3 du Code de la Santé Publique)</w:t>
      </w:r>
    </w:p>
    <w:p w:rsidR="00AB2D63" w:rsidRPr="00092007" w:rsidRDefault="00AB2D63" w:rsidP="00AB2D63">
      <w:pPr>
        <w:pStyle w:val="Paragraphedeliste"/>
        <w:jc w:val="both"/>
      </w:pPr>
    </w:p>
    <w:p w:rsidR="001A018F" w:rsidRDefault="001A018F" w:rsidP="00AB2D63">
      <w:pPr>
        <w:pStyle w:val="Paragraphedeliste"/>
        <w:numPr>
          <w:ilvl w:val="0"/>
          <w:numId w:val="15"/>
        </w:numPr>
        <w:jc w:val="both"/>
      </w:pPr>
      <w:r w:rsidRPr="00092007">
        <w:t xml:space="preserve">Le médecin doit inviter le patient à désigner une personne de confiance (l’article L1111-6 du CSP). </w:t>
      </w:r>
      <w:r w:rsidRPr="00AB2D63">
        <w:rPr>
          <w:b/>
        </w:rPr>
        <w:t xml:space="preserve">La désignation de </w:t>
      </w:r>
      <w:r w:rsidR="00BC2062" w:rsidRPr="00AB2D63">
        <w:rPr>
          <w:b/>
        </w:rPr>
        <w:t xml:space="preserve">cette </w:t>
      </w:r>
      <w:r w:rsidRPr="00AB2D63">
        <w:rPr>
          <w:b/>
        </w:rPr>
        <w:t xml:space="preserve">personne de confiance </w:t>
      </w:r>
      <w:r w:rsidR="00406D52" w:rsidRPr="00AB2D63">
        <w:rPr>
          <w:b/>
        </w:rPr>
        <w:t>devra être manuscrite et signée</w:t>
      </w:r>
      <w:r w:rsidR="00406D52" w:rsidRPr="00092007">
        <w:t xml:space="preserve"> </w:t>
      </w:r>
      <w:r w:rsidR="00406D52" w:rsidRPr="00AB2D63">
        <w:rPr>
          <w:b/>
        </w:rPr>
        <w:t>par les deux parties</w:t>
      </w:r>
      <w:r w:rsidR="00406D52" w:rsidRPr="00092007">
        <w:t xml:space="preserve">. </w:t>
      </w:r>
      <w:r w:rsidRPr="00092007">
        <w:t>La personne de confiance</w:t>
      </w:r>
      <w:r w:rsidR="00AF6201" w:rsidRPr="00092007">
        <w:t xml:space="preserve"> </w:t>
      </w:r>
      <w:r w:rsidR="00406D52" w:rsidRPr="00092007">
        <w:t xml:space="preserve">informe </w:t>
      </w:r>
      <w:r w:rsidRPr="00092007">
        <w:t>de la volonté du patient quand celui-ci n’</w:t>
      </w:r>
      <w:r w:rsidR="00406D52" w:rsidRPr="00092007">
        <w:t xml:space="preserve">est pas </w:t>
      </w:r>
      <w:r w:rsidR="00406D52" w:rsidRPr="00092007">
        <w:lastRenderedPageBreak/>
        <w:t>en mesure de s’exprime</w:t>
      </w:r>
      <w:r w:rsidR="00AB2D63">
        <w:t>r</w:t>
      </w:r>
      <w:r w:rsidR="00406D52" w:rsidRPr="00092007">
        <w:t>.</w:t>
      </w:r>
      <w:r w:rsidRPr="00092007">
        <w:t xml:space="preserve"> </w:t>
      </w:r>
      <w:r w:rsidR="00406D52" w:rsidRPr="00AB2D63">
        <w:rPr>
          <w:u w:val="single"/>
        </w:rPr>
        <w:t xml:space="preserve">Sa déclaration </w:t>
      </w:r>
      <w:r w:rsidRPr="00AB2D63">
        <w:rPr>
          <w:u w:val="single"/>
        </w:rPr>
        <w:t>prévaut sur tout autre témoigna</w:t>
      </w:r>
      <w:r w:rsidR="00AF6201" w:rsidRPr="00AB2D63">
        <w:rPr>
          <w:u w:val="single"/>
        </w:rPr>
        <w:t>ge</w:t>
      </w:r>
      <w:r w:rsidR="00AF6201" w:rsidRPr="00092007">
        <w:t xml:space="preserve">, même celui d’autres proches. </w:t>
      </w:r>
      <w:r w:rsidRPr="00092007">
        <w:t xml:space="preserve">Toutefois, si le patient a rédigé des directives anticipées, celles-ci s’imposent au médecin (L1111-11 al 3 CSP) et priment donc sur </w:t>
      </w:r>
      <w:r w:rsidR="00406D52" w:rsidRPr="00092007">
        <w:t xml:space="preserve">la déclaration </w:t>
      </w:r>
      <w:r w:rsidRPr="00092007">
        <w:t>de la personne de confiance (L1111-4 al 6</w:t>
      </w:r>
      <w:r w:rsidR="00BE1D31">
        <w:t xml:space="preserve"> CSP</w:t>
      </w:r>
      <w:r w:rsidR="00AB2D63">
        <w:t>)</w:t>
      </w:r>
    </w:p>
    <w:p w:rsidR="00AB2D63" w:rsidRPr="00092007" w:rsidRDefault="00AB2D63" w:rsidP="00AB2D63">
      <w:pPr>
        <w:pStyle w:val="Paragraphedeliste"/>
        <w:jc w:val="both"/>
      </w:pPr>
    </w:p>
    <w:p w:rsidR="001A018F" w:rsidRDefault="00406D52" w:rsidP="00AB2D63">
      <w:pPr>
        <w:pStyle w:val="Paragraphedeliste"/>
        <w:numPr>
          <w:ilvl w:val="0"/>
          <w:numId w:val="15"/>
        </w:numPr>
        <w:jc w:val="both"/>
      </w:pPr>
      <w:r w:rsidRPr="00AB2D63">
        <w:rPr>
          <w:u w:val="single"/>
        </w:rPr>
        <w:t xml:space="preserve">Si </w:t>
      </w:r>
      <w:r w:rsidR="001A018F" w:rsidRPr="00AB2D63">
        <w:rPr>
          <w:u w:val="single"/>
        </w:rPr>
        <w:t>le refus du patient est susceptible d’entraîner un danger pour sa vie, il convient d’appliquer l’alinéa 3 de l’article L1111-4</w:t>
      </w:r>
      <w:r w:rsidR="00BE1D31" w:rsidRPr="00AB2D63">
        <w:rPr>
          <w:u w:val="single"/>
        </w:rPr>
        <w:t xml:space="preserve"> du CSP</w:t>
      </w:r>
      <w:r w:rsidR="001A018F" w:rsidRPr="00AB2D63">
        <w:rPr>
          <w:u w:val="single"/>
        </w:rPr>
        <w:t>. Le refus du patient doit donc être réitéré dans un délai raisonnable</w:t>
      </w:r>
      <w:r w:rsidR="001A018F" w:rsidRPr="00092007">
        <w:t xml:space="preserve">. L’ensemble de la procédure doit apparaître clairement dans le dossier médical </w:t>
      </w:r>
      <w:r w:rsidRPr="00092007">
        <w:t xml:space="preserve">mentionnant </w:t>
      </w:r>
      <w:r w:rsidR="001A018F" w:rsidRPr="00092007">
        <w:t>les informations suivantes : Le refus du patient, l’information complète des conséquences du refus par le médecin et la réitération du refus par le pa</w:t>
      </w:r>
      <w:r w:rsidR="00AB2D63">
        <w:t>tient dans un délai raisonnable</w:t>
      </w:r>
    </w:p>
    <w:p w:rsidR="00AB2D63" w:rsidRPr="00092007" w:rsidRDefault="00AB2D63" w:rsidP="00AB2D63">
      <w:pPr>
        <w:pStyle w:val="Paragraphedeliste"/>
        <w:jc w:val="both"/>
      </w:pPr>
    </w:p>
    <w:p w:rsidR="001A018F" w:rsidRDefault="001A018F" w:rsidP="00AB2D63">
      <w:pPr>
        <w:pStyle w:val="Paragraphedeliste"/>
        <w:numPr>
          <w:ilvl w:val="0"/>
          <w:numId w:val="15"/>
        </w:numPr>
        <w:jc w:val="both"/>
      </w:pPr>
      <w:r w:rsidRPr="00092007">
        <w:t xml:space="preserve">Dans ce cas si le patient réitère son refus, l’équipe médicale </w:t>
      </w:r>
      <w:r w:rsidR="008D59AB" w:rsidRPr="00092007">
        <w:t>doit</w:t>
      </w:r>
      <w:r w:rsidRPr="00092007">
        <w:t xml:space="preserve"> </w:t>
      </w:r>
      <w:r w:rsidR="00E96044">
        <w:t>en tenir compte</w:t>
      </w:r>
      <w:r w:rsidRPr="00092007">
        <w:t>. Il doit aussi être défin</w:t>
      </w:r>
      <w:r w:rsidR="00406D52" w:rsidRPr="00092007">
        <w:t xml:space="preserve">i lors de cet entretien et </w:t>
      </w:r>
      <w:r w:rsidR="00406D52" w:rsidRPr="00AB2D63">
        <w:rPr>
          <w:u w:val="single"/>
        </w:rPr>
        <w:t>notifié</w:t>
      </w:r>
      <w:r w:rsidRPr="00AB2D63">
        <w:rPr>
          <w:u w:val="single"/>
        </w:rPr>
        <w:t xml:space="preserve"> dans le dossier médical</w:t>
      </w:r>
      <w:r w:rsidRPr="00092007">
        <w:t>, les éventuelles procédures d’épargne sanguine qui seront utilisables (fer inject</w:t>
      </w:r>
      <w:r w:rsidR="00AB2D63">
        <w:t xml:space="preserve">able, EPO, </w:t>
      </w:r>
      <w:proofErr w:type="spellStart"/>
      <w:r w:rsidR="00AB2D63">
        <w:t>cell</w:t>
      </w:r>
      <w:proofErr w:type="spellEnd"/>
      <w:r w:rsidR="00AB2D63">
        <w:t xml:space="preserve"> </w:t>
      </w:r>
      <w:proofErr w:type="spellStart"/>
      <w:r w:rsidR="00AB2D63">
        <w:t>saver</w:t>
      </w:r>
      <w:proofErr w:type="spellEnd"/>
      <w:r w:rsidR="00AB2D63">
        <w:t xml:space="preserve">, </w:t>
      </w:r>
      <w:proofErr w:type="spellStart"/>
      <w:r w:rsidR="00AB2D63">
        <w:t>exacyl</w:t>
      </w:r>
      <w:proofErr w:type="spellEnd"/>
      <w:r w:rsidR="00AB2D63">
        <w:t>…)</w:t>
      </w:r>
    </w:p>
    <w:p w:rsidR="00AB2D63" w:rsidRPr="00092007" w:rsidRDefault="00AB2D63" w:rsidP="00AB2D63">
      <w:pPr>
        <w:pStyle w:val="Paragraphedeliste"/>
        <w:jc w:val="both"/>
      </w:pPr>
    </w:p>
    <w:p w:rsidR="001A018F" w:rsidRDefault="001A018F" w:rsidP="00AB2D63">
      <w:pPr>
        <w:pStyle w:val="Paragraphedeliste"/>
        <w:numPr>
          <w:ilvl w:val="0"/>
          <w:numId w:val="15"/>
        </w:numPr>
        <w:jc w:val="both"/>
      </w:pPr>
      <w:r w:rsidRPr="00092007">
        <w:t>La prise en charge préopératoire d’une chirurgie hémorragique s’accompagne d’une évaluation des besoins basés sur le volume de saignement estimé, le taux d’hémoglobine et les comorbidités du patient. A partir de ce bilan, il est possible de « quantifier » le risque d’avoir recours à une transfusion sanguine. Ce calcul, ne constitue pas une assurance formelle de non-transfusion, mais une base de discussion</w:t>
      </w:r>
      <w:r w:rsidR="00AB2D63">
        <w:t xml:space="preserve"> entre le médecin et le patient</w:t>
      </w:r>
    </w:p>
    <w:p w:rsidR="00AB2D63" w:rsidRPr="00092007" w:rsidRDefault="00AB2D63" w:rsidP="00AB2D63">
      <w:pPr>
        <w:pStyle w:val="Paragraphedeliste"/>
        <w:jc w:val="both"/>
      </w:pPr>
    </w:p>
    <w:p w:rsidR="001A018F" w:rsidRDefault="001A018F" w:rsidP="00AB2D63">
      <w:pPr>
        <w:pStyle w:val="Paragraphedeliste"/>
        <w:numPr>
          <w:ilvl w:val="0"/>
          <w:numId w:val="15"/>
        </w:numPr>
        <w:jc w:val="both"/>
      </w:pPr>
      <w:r w:rsidRPr="00092007">
        <w:t>Un compte rendu doit être rédigé, archivé dans le dossier du patient et être si possible approuvé par le patient (</w:t>
      </w:r>
      <w:r w:rsidRPr="00AB2D63">
        <w:rPr>
          <w:u w:val="single"/>
        </w:rPr>
        <w:t>signature mais non obligatoire</w:t>
      </w:r>
      <w:r w:rsidRPr="00092007">
        <w:t xml:space="preserve">) </w:t>
      </w:r>
      <w:r w:rsidR="00406D52" w:rsidRPr="00092007">
        <w:t>mais notifier</w:t>
      </w:r>
      <w:r w:rsidRPr="00092007">
        <w:t xml:space="preserve"> que l’information a été </w:t>
      </w:r>
      <w:r w:rsidR="00406D52" w:rsidRPr="00092007">
        <w:t>transmise</w:t>
      </w:r>
      <w:r w:rsidR="00AB2D63">
        <w:t xml:space="preserve"> et par qui</w:t>
      </w:r>
    </w:p>
    <w:p w:rsidR="00AB2D63" w:rsidRPr="00092007" w:rsidRDefault="00AB2D63" w:rsidP="00AB2D63">
      <w:pPr>
        <w:pStyle w:val="Paragraphedeliste"/>
        <w:jc w:val="both"/>
      </w:pPr>
    </w:p>
    <w:p w:rsidR="001A018F" w:rsidRDefault="001A018F" w:rsidP="00AB2D63">
      <w:pPr>
        <w:pStyle w:val="Paragraphedeliste"/>
        <w:numPr>
          <w:ilvl w:val="0"/>
          <w:numId w:val="15"/>
        </w:numPr>
        <w:jc w:val="both"/>
      </w:pPr>
      <w:r w:rsidRPr="00AB2D63">
        <w:rPr>
          <w:b/>
        </w:rPr>
        <w:t>En cas de litige, ou de désaccord insurmontable, le médecin peut alors refuser de prendre en charge le patient.</w:t>
      </w:r>
      <w:r w:rsidRPr="00092007">
        <w:t xml:space="preserve"> </w:t>
      </w:r>
      <w:r w:rsidRPr="00AB2D63">
        <w:rPr>
          <w:u w:val="single"/>
        </w:rPr>
        <w:t>Ce refus de soin ne doit pas être fondé sur des motifs discriminatoires conformément à</w:t>
      </w:r>
      <w:r w:rsidR="002E2A46" w:rsidRPr="00AB2D63">
        <w:rPr>
          <w:u w:val="single"/>
        </w:rPr>
        <w:t xml:space="preserve"> l’article R-4127-7 du CSP. </w:t>
      </w:r>
      <w:r w:rsidRPr="00AB2D63">
        <w:rPr>
          <w:u w:val="single"/>
        </w:rPr>
        <w:t>Le désaccord insurmontable ne devrait pas aboutir à un refus de soins de la part du médecin qui estimerait implicitement, voire explicitement que ses valeurs (acceptation des transfusions de sang comme traitement par exemple) doivent l’emporter sur celles du patient qui les refuse</w:t>
      </w:r>
      <w:r w:rsidR="00406D52" w:rsidRPr="00AB2D63">
        <w:rPr>
          <w:u w:val="single"/>
        </w:rPr>
        <w:t>nt</w:t>
      </w:r>
    </w:p>
    <w:p w:rsidR="00AB2D63" w:rsidRPr="00092007" w:rsidRDefault="00AB2D63" w:rsidP="00AB2D63">
      <w:pPr>
        <w:pStyle w:val="Paragraphedeliste"/>
        <w:jc w:val="both"/>
      </w:pPr>
    </w:p>
    <w:p w:rsidR="00D05538" w:rsidRPr="00092007" w:rsidRDefault="001A018F" w:rsidP="00AB2D63">
      <w:pPr>
        <w:pStyle w:val="Paragraphedeliste"/>
        <w:numPr>
          <w:ilvl w:val="0"/>
          <w:numId w:val="15"/>
        </w:numPr>
        <w:jc w:val="both"/>
      </w:pPr>
      <w:r w:rsidRPr="00092007">
        <w:t xml:space="preserve">Dans le cas où le médecin décide de </w:t>
      </w:r>
      <w:r w:rsidR="00406D52" w:rsidRPr="00092007">
        <w:t>ne prodiguer de</w:t>
      </w:r>
      <w:r w:rsidRPr="00092007">
        <w:t xml:space="preserve"> soins </w:t>
      </w:r>
      <w:r w:rsidR="00406D52" w:rsidRPr="00092007">
        <w:t xml:space="preserve">au patient </w:t>
      </w:r>
      <w:r w:rsidRPr="00092007">
        <w:t>il doit prendre des dispositions pour en assurer la continuité.</w:t>
      </w:r>
    </w:p>
    <w:p w:rsidR="00D05538" w:rsidRPr="00D05538" w:rsidRDefault="00D05538" w:rsidP="00D05538">
      <w:pPr>
        <w:rPr>
          <w:rFonts w:ascii="Calibri" w:hAnsi="Calibri"/>
          <w:u w:val="single"/>
        </w:rPr>
      </w:pPr>
    </w:p>
    <w:p w:rsidR="00D05538" w:rsidRPr="003D3591" w:rsidRDefault="00D05538" w:rsidP="00D05538">
      <w:pPr>
        <w:contextualSpacing/>
        <w:rPr>
          <w:rFonts w:ascii="Calibri" w:hAnsi="Calibri"/>
          <w:b/>
          <w:i/>
          <w:sz w:val="24"/>
          <w:u w:val="single"/>
        </w:rPr>
      </w:pPr>
      <w:r w:rsidRPr="003D3591">
        <w:rPr>
          <w:rFonts w:ascii="Calibri" w:hAnsi="Calibri"/>
          <w:b/>
          <w:i/>
          <w:sz w:val="24"/>
          <w:u w:val="single"/>
        </w:rPr>
        <w:t>Prise en charge en urgence</w:t>
      </w:r>
    </w:p>
    <w:p w:rsidR="00D05538" w:rsidRPr="00D05538" w:rsidRDefault="00D05538" w:rsidP="00D05538">
      <w:pPr>
        <w:ind w:left="1068"/>
        <w:contextualSpacing/>
        <w:rPr>
          <w:rFonts w:ascii="Calibri" w:hAnsi="Calibri"/>
          <w:i/>
          <w:color w:val="5F497A"/>
          <w:sz w:val="28"/>
          <w:u w:val="single"/>
        </w:rPr>
      </w:pPr>
    </w:p>
    <w:p w:rsidR="00D05538" w:rsidRPr="003D3591" w:rsidRDefault="00D05538" w:rsidP="00D05538">
      <w:pPr>
        <w:numPr>
          <w:ilvl w:val="0"/>
          <w:numId w:val="12"/>
        </w:numPr>
        <w:ind w:left="709" w:hanging="283"/>
        <w:rPr>
          <w:rFonts w:ascii="Calibri" w:hAnsi="Calibri"/>
          <w:b/>
          <w:color w:val="365F91"/>
        </w:rPr>
      </w:pPr>
      <w:r w:rsidRPr="003D3591">
        <w:rPr>
          <w:rFonts w:ascii="Calibri" w:hAnsi="Calibri"/>
          <w:b/>
          <w:color w:val="365F91"/>
        </w:rPr>
        <w:t>Patient majeur</w:t>
      </w:r>
    </w:p>
    <w:p w:rsidR="00D05538" w:rsidRPr="00D05538" w:rsidRDefault="00D05538" w:rsidP="00D05538">
      <w:pPr>
        <w:ind w:left="1418"/>
        <w:rPr>
          <w:rFonts w:ascii="Calibri" w:hAnsi="Calibri"/>
          <w:color w:val="365F91"/>
        </w:rPr>
      </w:pPr>
    </w:p>
    <w:p w:rsidR="00D05538" w:rsidRPr="00D05538" w:rsidRDefault="00D05538" w:rsidP="00D05538">
      <w:pPr>
        <w:ind w:left="1418"/>
        <w:rPr>
          <w:rFonts w:ascii="Calibri" w:hAnsi="Calibri"/>
          <w:color w:val="365F91"/>
        </w:rPr>
      </w:pPr>
      <w:r w:rsidRPr="00D05538">
        <w:rPr>
          <w:rFonts w:ascii="Calibri" w:hAnsi="Calibri"/>
          <w:noProof/>
          <w:color w:val="365F91"/>
          <w:lang w:eastAsia="fr-FR"/>
        </w:rPr>
        <mc:AlternateContent>
          <mc:Choice Requires="wps">
            <w:drawing>
              <wp:anchor distT="0" distB="0" distL="114300" distR="114300" simplePos="0" relativeHeight="251661312" behindDoc="0" locked="0" layoutInCell="1" allowOverlap="1" wp14:anchorId="435235C9" wp14:editId="43E63D28">
                <wp:simplePos x="0" y="0"/>
                <wp:positionH relativeFrom="column">
                  <wp:posOffset>-63500</wp:posOffset>
                </wp:positionH>
                <wp:positionV relativeFrom="paragraph">
                  <wp:posOffset>73025</wp:posOffset>
                </wp:positionV>
                <wp:extent cx="5467350" cy="6381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5467350" cy="638175"/>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05538" w:rsidRPr="00E849A9" w:rsidRDefault="00D05538" w:rsidP="00D05538">
                            <w:pPr>
                              <w:jc w:val="center"/>
                              <w:rPr>
                                <w:b/>
                                <w:color w:val="000000" w:themeColor="text1"/>
                                <w:sz w:val="28"/>
                              </w:rPr>
                            </w:pPr>
                            <w:r w:rsidRPr="00E849A9">
                              <w:rPr>
                                <w:b/>
                                <w:color w:val="000000" w:themeColor="text1"/>
                                <w:sz w:val="28"/>
                              </w:rPr>
                              <w:t>Information obligatoire de l’administrateur de garde de l’établissement de santé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235C9" id="Rectangle à coins arrondis 5" o:spid="_x0000_s1027" style="position:absolute;left:0;text-align:left;margin-left:-5pt;margin-top:5.75pt;width:430.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1RV/wIAAMYGAAAOAAAAZHJzL2Uyb0RvYy54bWysVdtu0zAYvkfiHSzfszTrcdVSVK0MIY1t&#10;YkO7dh0nseQTtttkPA3vwovx204PjAoJtF1k9n/y95++Xr7vpEBbZh3XqsD52QAjpqguuaoL/PXx&#10;+t0MI+eJKonQihX4mTn8fvH2zWVr5uxcN1qUzCIIoty8NQVuvDfzLHO0YZK4M22YAmWlrSQerrbO&#10;SktaiC5Fdj4YTLJW29JYTZlzIF0lJV7E+FXFqL+rKsc8EgUGbD5+bfyuwzdbXJJ5bYlpOO1hkP9A&#10;IQlX8Og+1Ip4gjaW/xFKcmq105U/o1pmuqo4ZTEHyCYfvMjmoSGGxVygOM7sy+ReLyy93d5bxMsC&#10;jzFSREKLvkDRiKoFQz9/IKq5cohYq1XJHRqHgrXGzcHvwdzb/ubgGLLvKivDf8gLdbHIz/sis84j&#10;CsLxaDIdjqEXFHST4SyfxqDZwdtY5z8yLVE4FNjqjSoDqFhgsr1xHp4F+51dX/fymguBrPZP3Dex&#10;dDCQqSkOfKKVQ0ZD9QZR7Gy9vhIWbQkMx4fVdDVM5mIjP+syifN8AH9pTBzxB/lgvJd7rnyynkx7&#10;IaDro0ektTt+PXj+A4Kjl35HMDyBYLoT/hVBTOo1IFycgDAL0UPFTkAAUb1rhuAKwZyFiQAHcEGO&#10;EsFgFHfesJexqaF4QqE2zEucHAJMUQniYYikAQenaoyIqIGCqLepuVrwvfOpTvcAj83CQK2Ia1Iz&#10;XVClzkvugaUElwWeJazJW6gAjUWe6ccyLEdah3Dy3bqL25WHQEGy1uUzbByMacgTOUOvOTx7Q5y/&#10;Jxa4B4TAp/4OPpXQkLPuTxg12n4/JQ/2QAmgxagFLoOCfNsQyzASnxSM+0U+GkFYHy+j8fQcLvZY&#10;sz7WqI280rAReUQXj8Hei92xslo+Ae0uw6ugIorC26n0/eXKJ44F4qZsuYxmQHiG+Bv1YOhuMUPB&#10;H7snYk2/6x5Y4lbveI/MX2x7sg01V3q58brikQoOdYWhCxcgy7R3idgDGx/fo9Xh52fxCwAA//8D&#10;AFBLAwQUAAYACAAAACEAr2qImt4AAAAKAQAADwAAAGRycy9kb3ducmV2LnhtbEyPwW7CMBBE75X6&#10;D9ZW6g1sI1GhNA5CqK1QTy30wNGxTRIRr0NsSPL3XU7tcWdGs2/y9ehbdnN9bAIqkHMBzKEJtsFK&#10;wc/hfbYCFpNGq9uATsHkIqyLx4dcZzYM+O1u+1QxKsGYaQV1Sl3GeTS18zrOQ+eQvFPovU509hW3&#10;vR6o3Ld8IcQL97pB+lDrzm1rZ877q1fwIY+lGTb+8iUvu2GazO7z7XxU6vlp3LwCS25Mf2G44xM6&#10;FMRUhivayFoFMyloSyJDLoFRYLWUJJR3YSGAFzn/P6H4BQAA//8DAFBLAQItABQABgAIAAAAIQC2&#10;gziS/gAAAOEBAAATAAAAAAAAAAAAAAAAAAAAAABbQ29udGVudF9UeXBlc10ueG1sUEsBAi0AFAAG&#10;AAgAAAAhADj9If/WAAAAlAEAAAsAAAAAAAAAAAAAAAAALwEAAF9yZWxzLy5yZWxzUEsBAi0AFAAG&#10;AAgAAAAhAMFjVFX/AgAAxgYAAA4AAAAAAAAAAAAAAAAALgIAAGRycy9lMm9Eb2MueG1sUEsBAi0A&#10;FAAGAAgAAAAhAK9qiJreAAAACgEAAA8AAAAAAAAAAAAAAAAAWQUAAGRycy9kb3ducmV2LnhtbFBL&#10;BQYAAAAABAAEAPMAAABkBgAAAAA=&#10;" fillcolor="#f7bda4" strokecolor="#ed7d31" strokeweight=".5pt">
                <v:fill color2="#f8a581" rotate="t" colors="0 #f7bda4;.5 #f5b195;1 #f8a581" focus="100%" type="gradient">
                  <o:fill v:ext="view" type="gradientUnscaled"/>
                </v:fill>
                <v:stroke joinstyle="miter"/>
                <v:textbox>
                  <w:txbxContent>
                    <w:p w:rsidR="00D05538" w:rsidRPr="00E849A9" w:rsidRDefault="00D05538" w:rsidP="00D05538">
                      <w:pPr>
                        <w:jc w:val="center"/>
                        <w:rPr>
                          <w:b/>
                          <w:color w:val="000000" w:themeColor="text1"/>
                          <w:sz w:val="28"/>
                        </w:rPr>
                      </w:pPr>
                      <w:r w:rsidRPr="00E849A9">
                        <w:rPr>
                          <w:b/>
                          <w:color w:val="000000" w:themeColor="text1"/>
                          <w:sz w:val="28"/>
                        </w:rPr>
                        <w:t>Information obligatoire de l’administrateur de garde de l’établissement de santé</w:t>
                      </w:r>
                    </w:p>
                  </w:txbxContent>
                </v:textbox>
              </v:roundrect>
            </w:pict>
          </mc:Fallback>
        </mc:AlternateContent>
      </w:r>
    </w:p>
    <w:p w:rsidR="00D05538" w:rsidRPr="00D05538" w:rsidRDefault="00D05538" w:rsidP="00D05538">
      <w:pPr>
        <w:ind w:left="1418"/>
        <w:rPr>
          <w:rFonts w:ascii="Calibri" w:hAnsi="Calibri"/>
          <w:color w:val="365F91"/>
        </w:rPr>
      </w:pPr>
    </w:p>
    <w:p w:rsidR="00D05538" w:rsidRPr="00D05538" w:rsidRDefault="00D05538" w:rsidP="00D05538">
      <w:pPr>
        <w:ind w:left="1418"/>
        <w:rPr>
          <w:rFonts w:ascii="Calibri" w:hAnsi="Calibri"/>
          <w:color w:val="365F91"/>
        </w:rPr>
      </w:pPr>
    </w:p>
    <w:p w:rsidR="00D05538" w:rsidRPr="00D05538" w:rsidRDefault="00D05538" w:rsidP="00D05538">
      <w:pPr>
        <w:ind w:left="2127" w:hanging="567"/>
        <w:rPr>
          <w:rFonts w:ascii="Calibri" w:hAnsi="Calibri"/>
        </w:rPr>
      </w:pPr>
    </w:p>
    <w:p w:rsidR="00D05538" w:rsidRPr="003D3591" w:rsidRDefault="00D05538" w:rsidP="003D3591">
      <w:pPr>
        <w:pStyle w:val="Paragraphedeliste"/>
        <w:numPr>
          <w:ilvl w:val="0"/>
          <w:numId w:val="16"/>
        </w:numPr>
        <w:tabs>
          <w:tab w:val="left" w:pos="3510"/>
          <w:tab w:val="left" w:leader="dot" w:pos="5400"/>
        </w:tabs>
        <w:spacing w:line="240" w:lineRule="auto"/>
        <w:ind w:left="567" w:right="288"/>
        <w:jc w:val="both"/>
        <w:rPr>
          <w:rFonts w:cs="Arial"/>
          <w:szCs w:val="20"/>
        </w:rPr>
      </w:pPr>
      <w:r w:rsidRPr="003D3591">
        <w:rPr>
          <w:rFonts w:cs="Arial"/>
          <w:szCs w:val="20"/>
        </w:rPr>
        <w:t xml:space="preserve">Selon la loi, le médecin doit être </w:t>
      </w:r>
      <w:r w:rsidRPr="003D3591">
        <w:rPr>
          <w:rFonts w:cs="Arial"/>
          <w:szCs w:val="20"/>
          <w:u w:val="single"/>
        </w:rPr>
        <w:t>neutre.</w:t>
      </w:r>
      <w:r w:rsidRPr="003D3591">
        <w:rPr>
          <w:rFonts w:cs="Arial"/>
          <w:szCs w:val="20"/>
        </w:rPr>
        <w:t xml:space="preserve"> Le refus que le patient a préalablement manifesté doit être éclairé, certain et personnel. </w:t>
      </w:r>
      <w:r w:rsidRPr="003D3591">
        <w:rPr>
          <w:rFonts w:cs="Arial"/>
          <w:b/>
          <w:szCs w:val="20"/>
        </w:rPr>
        <w:t>Le médecin n’a pas à porter de jugement de valeur et se doit de respecter les convictions</w:t>
      </w:r>
      <w:r w:rsidR="003D3591">
        <w:rPr>
          <w:rFonts w:cs="Arial"/>
          <w:b/>
          <w:szCs w:val="20"/>
        </w:rPr>
        <w:t xml:space="preserve"> des patients</w:t>
      </w:r>
    </w:p>
    <w:p w:rsidR="003D3591" w:rsidRPr="003D3591" w:rsidRDefault="003D3591" w:rsidP="003D3591">
      <w:pPr>
        <w:pStyle w:val="Paragraphedeliste"/>
        <w:tabs>
          <w:tab w:val="left" w:pos="3510"/>
          <w:tab w:val="left" w:leader="dot" w:pos="5400"/>
        </w:tabs>
        <w:spacing w:line="240" w:lineRule="auto"/>
        <w:ind w:left="567" w:right="288"/>
        <w:jc w:val="both"/>
        <w:rPr>
          <w:rFonts w:cs="Arial"/>
          <w:szCs w:val="20"/>
        </w:rPr>
      </w:pPr>
    </w:p>
    <w:p w:rsidR="00A246FD" w:rsidRPr="003D3591" w:rsidRDefault="00A246FD" w:rsidP="003D3591">
      <w:pPr>
        <w:pStyle w:val="Paragraphedeliste"/>
        <w:numPr>
          <w:ilvl w:val="0"/>
          <w:numId w:val="16"/>
        </w:numPr>
        <w:ind w:left="567"/>
        <w:jc w:val="both"/>
      </w:pPr>
      <w:r w:rsidRPr="00EA045B">
        <w:t xml:space="preserve">Lorsque le patient est conscient, l’article L1111-4 du CSP, alinéa 3 s’applique. Cette procédure est applicable quelle que soit l’urgence de la situation, même en cas d’urgence vitale. </w:t>
      </w:r>
      <w:r w:rsidRPr="003D3591">
        <w:rPr>
          <w:u w:val="single"/>
        </w:rPr>
        <w:t xml:space="preserve">Si le patient réitère son refus, alors la loi ne prévoit pas de </w:t>
      </w:r>
      <w:r w:rsidR="003D3591">
        <w:rPr>
          <w:u w:val="single"/>
        </w:rPr>
        <w:t>limite au respect de sa volonté</w:t>
      </w:r>
    </w:p>
    <w:p w:rsidR="003D3591" w:rsidRPr="00EA045B" w:rsidRDefault="003D3591" w:rsidP="003D3591">
      <w:pPr>
        <w:pStyle w:val="Paragraphedeliste"/>
        <w:ind w:left="567"/>
        <w:jc w:val="both"/>
      </w:pPr>
    </w:p>
    <w:p w:rsidR="00A246FD" w:rsidRDefault="00A246FD" w:rsidP="003D3591">
      <w:pPr>
        <w:pStyle w:val="Paragraphedeliste"/>
        <w:numPr>
          <w:ilvl w:val="0"/>
          <w:numId w:val="16"/>
        </w:numPr>
        <w:ind w:left="567"/>
        <w:jc w:val="both"/>
      </w:pPr>
      <w:r w:rsidRPr="00EA045B">
        <w:t>Dans certains cas, la jurisprudence administrative a considéré que les médecins n’avaient pas commis de faute en transfusant un patient contre sa volonté dans une situation d’urgence vitale. A l’inverse, dans d’autres situations plus récentes les juridictions administratives ont considéré que les médecins avaient commis une faute en transfusant une patiente contre sa volonté alors même qu’il y avait</w:t>
      </w:r>
      <w:r w:rsidR="003D3591">
        <w:t xml:space="preserve"> une situation d’urgence vitale</w:t>
      </w:r>
    </w:p>
    <w:p w:rsidR="003D3591" w:rsidRPr="00EA045B" w:rsidRDefault="003D3591" w:rsidP="003D3591">
      <w:pPr>
        <w:pStyle w:val="Paragraphedeliste"/>
        <w:ind w:left="567"/>
        <w:jc w:val="both"/>
      </w:pPr>
    </w:p>
    <w:p w:rsidR="00A246FD" w:rsidRPr="003D3591" w:rsidRDefault="00A246FD" w:rsidP="003D3591">
      <w:pPr>
        <w:pStyle w:val="Paragraphedeliste"/>
        <w:numPr>
          <w:ilvl w:val="0"/>
          <w:numId w:val="16"/>
        </w:numPr>
        <w:ind w:left="567"/>
        <w:jc w:val="both"/>
      </w:pPr>
      <w:r w:rsidRPr="00EA045B">
        <w:t xml:space="preserve">Lorsque le patient est inconscient, la loi prévoit deux dispositifs permettant aux médecins de connaître et respecter la volonté du patient : </w:t>
      </w:r>
      <w:r w:rsidRPr="003D3591">
        <w:rPr>
          <w:b/>
        </w:rPr>
        <w:t>les directives anticip</w:t>
      </w:r>
      <w:r w:rsidR="003D3591">
        <w:rPr>
          <w:b/>
        </w:rPr>
        <w:t>ées et la personne de confiance</w:t>
      </w:r>
    </w:p>
    <w:p w:rsidR="003D3591" w:rsidRPr="00EA045B" w:rsidRDefault="003D3591" w:rsidP="003D3591">
      <w:pPr>
        <w:pStyle w:val="Paragraphedeliste"/>
        <w:ind w:left="567"/>
        <w:jc w:val="both"/>
      </w:pPr>
    </w:p>
    <w:p w:rsidR="00A246FD" w:rsidRDefault="00A246FD" w:rsidP="003D3591">
      <w:pPr>
        <w:pStyle w:val="Paragraphedeliste"/>
        <w:numPr>
          <w:ilvl w:val="0"/>
          <w:numId w:val="16"/>
        </w:numPr>
        <w:ind w:left="567"/>
        <w:jc w:val="both"/>
      </w:pPr>
      <w:r w:rsidRPr="003D3591">
        <w:rPr>
          <w:u w:val="single"/>
        </w:rPr>
        <w:t>Les directives anticipées</w:t>
      </w:r>
      <w:r w:rsidRPr="00EA045B">
        <w:t xml:space="preserve"> s'imposent au médecin pour toute décision d'investigation, d'intervention ou de traitement, </w:t>
      </w:r>
      <w:r w:rsidRPr="003D3591">
        <w:rPr>
          <w:u w:val="single"/>
        </w:rPr>
        <w:t>sauf en cas d'urgence vitale pendant le temps nécessaire à une évaluation complète de la situation et lorsque les directives anticipées apparaissent manifestement inappropriées ou non co</w:t>
      </w:r>
      <w:r w:rsidR="003D3591" w:rsidRPr="003D3591">
        <w:rPr>
          <w:u w:val="single"/>
        </w:rPr>
        <w:t>nformes à la situation médicale</w:t>
      </w:r>
    </w:p>
    <w:p w:rsidR="003D3591" w:rsidRPr="00EA045B" w:rsidRDefault="003D3591" w:rsidP="003D3591">
      <w:pPr>
        <w:pStyle w:val="Paragraphedeliste"/>
        <w:ind w:left="567"/>
        <w:jc w:val="both"/>
      </w:pPr>
    </w:p>
    <w:p w:rsidR="00A246FD" w:rsidRDefault="00A246FD" w:rsidP="003D3591">
      <w:pPr>
        <w:pStyle w:val="Paragraphedeliste"/>
        <w:numPr>
          <w:ilvl w:val="0"/>
          <w:numId w:val="16"/>
        </w:numPr>
        <w:ind w:left="567"/>
        <w:jc w:val="both"/>
      </w:pPr>
      <w:r w:rsidRPr="003D3591">
        <w:rPr>
          <w:u w:val="single"/>
        </w:rPr>
        <w:t>La décision de refus</w:t>
      </w:r>
      <w:r w:rsidRPr="00EA045B">
        <w:t xml:space="preserve"> d'application des directives anticipées, jugées par le médecin manifestement inappropriées ou non conformes à la situation médicale du patient, est prise à l'issue d'une procédure collégiale et est inscrite au dossier médical. Elle est portée à la connaissance de la personne de confiance désignée par le patient ou, à défaut, de la famille ou des proches.</w:t>
      </w:r>
    </w:p>
    <w:p w:rsidR="00D05538" w:rsidRPr="00D05538" w:rsidRDefault="00D05538" w:rsidP="00D05538">
      <w:pPr>
        <w:ind w:left="2127" w:hanging="567"/>
        <w:rPr>
          <w:rFonts w:ascii="Calibri" w:hAnsi="Calibri"/>
        </w:rPr>
      </w:pPr>
    </w:p>
    <w:p w:rsidR="00D05538" w:rsidRPr="003D3591" w:rsidRDefault="00D05538" w:rsidP="00D05538">
      <w:pPr>
        <w:numPr>
          <w:ilvl w:val="0"/>
          <w:numId w:val="12"/>
        </w:numPr>
        <w:ind w:left="709" w:hanging="283"/>
        <w:rPr>
          <w:rFonts w:ascii="Calibri" w:hAnsi="Calibri"/>
          <w:b/>
          <w:color w:val="365F91"/>
        </w:rPr>
      </w:pPr>
      <w:r w:rsidRPr="003D3591">
        <w:rPr>
          <w:rFonts w:ascii="Calibri" w:hAnsi="Calibri"/>
          <w:b/>
          <w:color w:val="365F91"/>
        </w:rPr>
        <w:t>Patient mineur</w:t>
      </w:r>
    </w:p>
    <w:p w:rsidR="00D05538" w:rsidRPr="00D05538" w:rsidRDefault="006A5424" w:rsidP="00D05538">
      <w:pPr>
        <w:ind w:left="1418"/>
        <w:rPr>
          <w:rFonts w:ascii="Calibri" w:hAnsi="Calibri"/>
          <w:color w:val="365F91"/>
        </w:rPr>
      </w:pPr>
      <w:r w:rsidRPr="00D05538">
        <w:rPr>
          <w:rFonts w:ascii="Calibri" w:hAnsi="Calibri"/>
          <w:noProof/>
          <w:color w:val="365F91"/>
          <w:lang w:eastAsia="fr-FR"/>
        </w:rPr>
        <mc:AlternateContent>
          <mc:Choice Requires="wps">
            <w:drawing>
              <wp:anchor distT="0" distB="0" distL="114300" distR="114300" simplePos="0" relativeHeight="251662336" behindDoc="0" locked="0" layoutInCell="1" allowOverlap="1" wp14:anchorId="72C4F8E7" wp14:editId="098D99CD">
                <wp:simplePos x="0" y="0"/>
                <wp:positionH relativeFrom="margin">
                  <wp:align>left</wp:align>
                </wp:positionH>
                <wp:positionV relativeFrom="paragraph">
                  <wp:posOffset>23495</wp:posOffset>
                </wp:positionV>
                <wp:extent cx="5467350" cy="8382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5467350" cy="838200"/>
                        </a:xfrm>
                        <a:prstGeom prst="roundRect">
                          <a:avLst/>
                        </a:prstGeom>
                        <a:gradFill rotWithShape="1">
                          <a:gsLst>
                            <a:gs pos="0">
                              <a:srgbClr val="ED7D31">
                                <a:lumMod val="110000"/>
                                <a:satMod val="105000"/>
                                <a:tint val="67000"/>
                              </a:srgbClr>
                            </a:gs>
                            <a:gs pos="50000">
                              <a:srgbClr val="ED7D31">
                                <a:lumMod val="105000"/>
                                <a:satMod val="103000"/>
                                <a:tint val="73000"/>
                              </a:srgbClr>
                            </a:gs>
                            <a:gs pos="100000">
                              <a:srgbClr val="ED7D31">
                                <a:lumMod val="105000"/>
                                <a:satMod val="109000"/>
                                <a:tint val="81000"/>
                              </a:srgbClr>
                            </a:gs>
                          </a:gsLst>
                          <a:lin ang="5400000" scaled="0"/>
                        </a:gradFill>
                        <a:ln w="6350" cap="flat" cmpd="sng" algn="ctr">
                          <a:solidFill>
                            <a:srgbClr val="ED7D31"/>
                          </a:solidFill>
                          <a:prstDash val="solid"/>
                          <a:miter lim="800000"/>
                        </a:ln>
                        <a:effectLst/>
                      </wps:spPr>
                      <wps:txbx>
                        <w:txbxContent>
                          <w:p w:rsidR="00D05538" w:rsidRPr="00E849A9" w:rsidRDefault="00D05538" w:rsidP="00D05538">
                            <w:pPr>
                              <w:jc w:val="center"/>
                              <w:rPr>
                                <w:b/>
                                <w:color w:val="000000" w:themeColor="text1"/>
                                <w:sz w:val="28"/>
                              </w:rPr>
                            </w:pPr>
                            <w:r>
                              <w:rPr>
                                <w:b/>
                                <w:color w:val="000000" w:themeColor="text1"/>
                                <w:sz w:val="28"/>
                              </w:rPr>
                              <w:t>Information impérative de l’administrateur de garde, prévenant le juge des tutelles via le procureur de la république en fonction de la situation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4F8E7" id="Rectangle à coins arrondis 6" o:spid="_x0000_s1028" style="position:absolute;left:0;text-align:left;margin-left:0;margin-top:1.85pt;width:430.5pt;height: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uV/wIAAMYGAAAOAAAAZHJzL2Uyb0RvYy54bWysVdtuEzEQfUfiHyy/0809adQERQ1FSKWt&#10;aFGfJ17vriXfsJ0m5Wv4F36Msb25UCIkUPuwtefmmTMzJxfvt0qSJ+68MHpGu2cdSrhmphS6ntGv&#10;D1fvJpT4ALoEaTSf0Wfu6fv52zcXGzvlPdMYWXJHMIj2042d0SYEOy0KzxquwJ8ZyzUqK+MUBLy6&#10;uigdbDC6kkWv0xkVG+NK6wzj3qN0mZV0nuJXFWfhtqo8D0TOKOYW0tel7yp+i/kFTGsHthGsTQP+&#10;IwsFQuOj+1BLCEDWTvwRSgnmjDdVOGNGFaaqBOOpBqym23lRzX0DlqdaEBxv9zD51wvLbp7uHBHl&#10;jI4o0aCwRV8QNNC15OTnD8KM0J6Ac0aXwpNRBGxj/RT97u2da28ej7H6beVU/I91kW0C+XkPMt8G&#10;wlA4HIzG/SH2gqFu0p9gF2PQ4uBtnQ8fuVEkHmbUmbUuY1IJYHi69iHb7+xa3MsrISVxJjyK0CTo&#10;cCBzUzz6JCtPrEH0OknsXb26lI48AQ7Hh+V42c/mcq0+mzKLu90O/uUx8RAO8s5wLw9Ch2w9GrdC&#10;rKaNniqr/fHr0fMfMjh66fcM+icyGO+Ef80gFfUaKZyfSGESo7ctfQkCZlXvmiGFJjhncSLQAV2I&#10;ZyA5juLOG/cyNTWCJzXZ4JDmyQFkikpCwCFSFh28rikBWSMFseByc40Ue+dTnc4z5I/N4kAtwTe5&#10;mUmVO69EQJaSQuHE5lyzt9QxNZ54ph3LuBx5HeIpbFfbtF29GChKVqZ8xo3DMY11Em/ZlcBnr8GH&#10;O3DIPShEPg23+KmkwZpNe6KkMe77KXm0R0pALSUb5DIE5NsaHKdEftI47ufdwQDDhnQZDMc9vLhj&#10;zepYo9fq0uBGdFN26Rjtg9wdK2fUI9LuIr6KKtAM387Qt5fLkDkWiZvxxSKZIeFZCNf63rLdYkbA&#10;H7aP4Gy76wFZ4sbseA+mL7Y920bMtVmsg6lEooIDrrht8YJkmfcuE3tk4+N7sjr8/Mx/AQAA//8D&#10;AFBLAwQUAAYACAAAACEAmCamKdwAAAAGAQAADwAAAGRycy9kb3ducmV2LnhtbEyPwU7DMBBE70j8&#10;g7VI3KgTKtoqjVNVCFDFCQqHHh17m0SN12nsNsnfs5zgOJrRzJt8M7pWXLEPjScF6SwBgWS8bahS&#10;8P31+rACEaImq1tPqGDCAJvi9ibXmfUDfeJ1HyvBJRQyraCOscukDKZGp8PMd0jsHX3vdGTZV9L2&#10;euBy18rHJFlIpxvihVp3+FyjOe0vTsFbeijNsHXnj/S8G6bJ7N5fTgel7u/G7RpExDH+heEXn9Gh&#10;YKbSX8gG0SrgI1HBfAmCzdUiZV1yav60BFnk8j9+8QMAAP//AwBQSwECLQAUAAYACAAAACEAtoM4&#10;kv4AAADhAQAAEwAAAAAAAAAAAAAAAAAAAAAAW0NvbnRlbnRfVHlwZXNdLnhtbFBLAQItABQABgAI&#10;AAAAIQA4/SH/1gAAAJQBAAALAAAAAAAAAAAAAAAAAC8BAABfcmVscy8ucmVsc1BLAQItABQABgAI&#10;AAAAIQAJTPuV/wIAAMYGAAAOAAAAAAAAAAAAAAAAAC4CAABkcnMvZTJvRG9jLnhtbFBLAQItABQA&#10;BgAIAAAAIQCYJqYp3AAAAAYBAAAPAAAAAAAAAAAAAAAAAFkFAABkcnMvZG93bnJldi54bWxQSwUG&#10;AAAAAAQABADzAAAAYgYAAAAA&#10;" fillcolor="#f7bda4" strokecolor="#ed7d31" strokeweight=".5pt">
                <v:fill color2="#f8a581" rotate="t" colors="0 #f7bda4;.5 #f5b195;1 #f8a581" focus="100%" type="gradient">
                  <o:fill v:ext="view" type="gradientUnscaled"/>
                </v:fill>
                <v:stroke joinstyle="miter"/>
                <v:textbox>
                  <w:txbxContent>
                    <w:p w:rsidR="00D05538" w:rsidRPr="00E849A9" w:rsidRDefault="00D05538" w:rsidP="00D05538">
                      <w:pPr>
                        <w:jc w:val="center"/>
                        <w:rPr>
                          <w:b/>
                          <w:color w:val="000000" w:themeColor="text1"/>
                          <w:sz w:val="28"/>
                        </w:rPr>
                      </w:pPr>
                      <w:r>
                        <w:rPr>
                          <w:b/>
                          <w:color w:val="000000" w:themeColor="text1"/>
                          <w:sz w:val="28"/>
                        </w:rPr>
                        <w:t>Information impérative de l’administrateur de garde, prévenant le juge des tutelles via le procureur de la république en fonction de la situation</w:t>
                      </w:r>
                    </w:p>
                  </w:txbxContent>
                </v:textbox>
                <w10:wrap anchorx="margin"/>
              </v:roundrect>
            </w:pict>
          </mc:Fallback>
        </mc:AlternateContent>
      </w:r>
    </w:p>
    <w:p w:rsidR="00D05538" w:rsidRPr="00D05538" w:rsidRDefault="00D05538" w:rsidP="00D05538">
      <w:pPr>
        <w:ind w:left="1418"/>
        <w:rPr>
          <w:rFonts w:ascii="Calibri" w:hAnsi="Calibri"/>
          <w:color w:val="365F91"/>
        </w:rPr>
      </w:pPr>
    </w:p>
    <w:p w:rsidR="00D05538" w:rsidRPr="00D05538" w:rsidRDefault="00D05538" w:rsidP="00D05538">
      <w:pPr>
        <w:ind w:left="1418"/>
        <w:rPr>
          <w:rFonts w:ascii="Calibri" w:hAnsi="Calibri"/>
          <w:color w:val="365F91"/>
        </w:rPr>
      </w:pPr>
    </w:p>
    <w:p w:rsidR="00D05538" w:rsidRPr="00D05538" w:rsidRDefault="00D05538" w:rsidP="00D05538">
      <w:pPr>
        <w:ind w:left="2127" w:hanging="567"/>
        <w:rPr>
          <w:rFonts w:ascii="Calibri" w:hAnsi="Calibri"/>
        </w:rPr>
      </w:pPr>
    </w:p>
    <w:p w:rsidR="00D05538" w:rsidRPr="00D05538" w:rsidRDefault="00D05538" w:rsidP="00D05538">
      <w:pPr>
        <w:ind w:left="2127"/>
        <w:rPr>
          <w:rFonts w:ascii="Calibri" w:hAnsi="Calibri"/>
        </w:rPr>
      </w:pPr>
    </w:p>
    <w:p w:rsidR="00D05538" w:rsidRDefault="00D05538" w:rsidP="003D3591">
      <w:pPr>
        <w:pStyle w:val="Paragraphedeliste"/>
        <w:numPr>
          <w:ilvl w:val="0"/>
          <w:numId w:val="17"/>
        </w:numPr>
        <w:tabs>
          <w:tab w:val="left" w:pos="3510"/>
          <w:tab w:val="left" w:leader="dot" w:pos="5400"/>
        </w:tabs>
        <w:spacing w:line="240" w:lineRule="auto"/>
        <w:ind w:left="567" w:right="288"/>
        <w:jc w:val="both"/>
        <w:rPr>
          <w:rFonts w:cs="Arial"/>
          <w:szCs w:val="20"/>
        </w:rPr>
      </w:pPr>
      <w:r w:rsidRPr="003D3591">
        <w:rPr>
          <w:rFonts w:cs="Arial"/>
          <w:szCs w:val="20"/>
        </w:rPr>
        <w:t xml:space="preserve">En pédiatrie, la relation thérapeutique s’inscrit dans un espace à trois dimensions : </w:t>
      </w:r>
      <w:r w:rsidRPr="003D3591">
        <w:rPr>
          <w:rFonts w:cs="Arial"/>
          <w:b/>
          <w:szCs w:val="20"/>
        </w:rPr>
        <w:t xml:space="preserve">médecin, enfant et parents. </w:t>
      </w:r>
      <w:r w:rsidRPr="003D3591">
        <w:rPr>
          <w:rFonts w:cs="Arial"/>
          <w:szCs w:val="20"/>
        </w:rPr>
        <w:t xml:space="preserve">Juridiquement, </w:t>
      </w:r>
      <w:r w:rsidRPr="003D3591">
        <w:rPr>
          <w:rFonts w:cs="Arial"/>
          <w:szCs w:val="20"/>
          <w:u w:val="single"/>
        </w:rPr>
        <w:t>l’autorité parentale doit être exercée</w:t>
      </w:r>
      <w:r w:rsidRPr="003D3591">
        <w:rPr>
          <w:rFonts w:cs="Arial"/>
          <w:szCs w:val="20"/>
        </w:rPr>
        <w:t xml:space="preserve"> pour protéger l’enfant dans sa sécurité, sa santé et sa moralité, mais </w:t>
      </w:r>
      <w:r w:rsidRPr="003D3591">
        <w:rPr>
          <w:rFonts w:cs="Arial"/>
          <w:szCs w:val="20"/>
          <w:u w:val="single"/>
        </w:rPr>
        <w:t xml:space="preserve">elle n’a nullement le </w:t>
      </w:r>
      <w:r w:rsidR="003D3591" w:rsidRPr="003D3591">
        <w:rPr>
          <w:rFonts w:cs="Arial"/>
          <w:szCs w:val="20"/>
          <w:u w:val="single"/>
        </w:rPr>
        <w:t>droit de vie ou de mort sur lui</w:t>
      </w:r>
    </w:p>
    <w:p w:rsidR="003D3591" w:rsidRPr="003D3591" w:rsidRDefault="003D3591" w:rsidP="003D3591">
      <w:pPr>
        <w:pStyle w:val="Paragraphedeliste"/>
        <w:tabs>
          <w:tab w:val="left" w:pos="3510"/>
          <w:tab w:val="left" w:leader="dot" w:pos="5400"/>
        </w:tabs>
        <w:spacing w:line="240" w:lineRule="auto"/>
        <w:ind w:left="567" w:right="288"/>
        <w:jc w:val="both"/>
        <w:rPr>
          <w:rFonts w:cs="Arial"/>
          <w:szCs w:val="20"/>
        </w:rPr>
      </w:pPr>
    </w:p>
    <w:p w:rsidR="00D05538" w:rsidRPr="003D3591" w:rsidRDefault="00D05538" w:rsidP="003D3591">
      <w:pPr>
        <w:pStyle w:val="Paragraphedeliste"/>
        <w:numPr>
          <w:ilvl w:val="0"/>
          <w:numId w:val="17"/>
        </w:numPr>
        <w:tabs>
          <w:tab w:val="left" w:pos="3510"/>
          <w:tab w:val="left" w:leader="dot" w:pos="5400"/>
        </w:tabs>
        <w:spacing w:line="240" w:lineRule="auto"/>
        <w:ind w:left="567" w:right="288"/>
        <w:jc w:val="both"/>
        <w:rPr>
          <w:rFonts w:ascii="Calibri" w:hAnsi="Calibri"/>
        </w:rPr>
      </w:pPr>
      <w:r w:rsidRPr="003D3591">
        <w:rPr>
          <w:rFonts w:cs="Arial"/>
          <w:b/>
          <w:szCs w:val="20"/>
        </w:rPr>
        <w:t>Le médecin a toute autorité s’il estime que le représentant légal de l’enfant le met en danger</w:t>
      </w:r>
      <w:r w:rsidRPr="003D3591">
        <w:rPr>
          <w:rFonts w:cs="Arial"/>
          <w:szCs w:val="20"/>
        </w:rPr>
        <w:t xml:space="preserve">. Si une transfusion est nécessaire, la faire (mesure assistance éducative fixée par le juge des enfants, saisi par le procureur de la république). Dans ce cas, </w:t>
      </w:r>
      <w:r w:rsidRPr="003D3591">
        <w:rPr>
          <w:rFonts w:cs="Arial"/>
          <w:szCs w:val="20"/>
          <w:u w:val="single"/>
        </w:rPr>
        <w:t>le chef de service prenant l’autorité parentale.</w:t>
      </w:r>
    </w:p>
    <w:p w:rsidR="00A40FC0" w:rsidRDefault="00A40FC0" w:rsidP="006C3AC0">
      <w:pPr>
        <w:contextualSpacing/>
        <w:rPr>
          <w:rFonts w:ascii="Calibri" w:hAnsi="Calibri"/>
          <w:b/>
          <w:i/>
          <w:u w:val="single"/>
        </w:rPr>
      </w:pPr>
    </w:p>
    <w:p w:rsidR="00A40FC0" w:rsidRDefault="00A40FC0" w:rsidP="006C3AC0">
      <w:pPr>
        <w:contextualSpacing/>
        <w:rPr>
          <w:rFonts w:ascii="Calibri" w:hAnsi="Calibri"/>
          <w:b/>
          <w:i/>
          <w:u w:val="single"/>
        </w:rPr>
      </w:pPr>
    </w:p>
    <w:p w:rsidR="00D05538" w:rsidRPr="00A40FC0" w:rsidRDefault="00D05538" w:rsidP="00A40FC0">
      <w:pPr>
        <w:ind w:left="2832" w:firstLine="708"/>
        <w:contextualSpacing/>
        <w:rPr>
          <w:rFonts w:ascii="Calibri" w:hAnsi="Calibri"/>
          <w:b/>
          <w:i/>
          <w:sz w:val="36"/>
          <w:szCs w:val="36"/>
        </w:rPr>
      </w:pPr>
      <w:r w:rsidRPr="00A40FC0">
        <w:rPr>
          <w:rFonts w:ascii="Calibri" w:hAnsi="Calibri"/>
          <w:b/>
          <w:i/>
          <w:sz w:val="36"/>
          <w:szCs w:val="36"/>
          <w:u w:val="single"/>
        </w:rPr>
        <w:lastRenderedPageBreak/>
        <w:t>Conclusion</w:t>
      </w:r>
      <w:r w:rsidR="003D3591">
        <w:rPr>
          <w:rFonts w:ascii="Calibri" w:hAnsi="Calibri"/>
          <w:b/>
          <w:i/>
          <w:sz w:val="36"/>
          <w:szCs w:val="36"/>
        </w:rPr>
        <w:t> </w:t>
      </w:r>
    </w:p>
    <w:p w:rsidR="00D05538" w:rsidRPr="00D05538" w:rsidRDefault="00D05538" w:rsidP="00D05538">
      <w:pPr>
        <w:ind w:left="1068"/>
        <w:contextualSpacing/>
        <w:rPr>
          <w:rFonts w:ascii="Calibri" w:hAnsi="Calibri"/>
          <w:i/>
          <w:sz w:val="24"/>
        </w:rPr>
      </w:pPr>
    </w:p>
    <w:p w:rsidR="004916AE" w:rsidRPr="0001006F" w:rsidRDefault="004916AE" w:rsidP="004916AE">
      <w:pPr>
        <w:jc w:val="both"/>
      </w:pPr>
      <w:r w:rsidRPr="00EA045B">
        <w:t>Dans tous les cas</w:t>
      </w:r>
      <w:r w:rsidR="00F00F3C" w:rsidRPr="00EA045B">
        <w:t>,</w:t>
      </w:r>
      <w:r w:rsidRPr="00EA045B">
        <w:t xml:space="preserve"> il est important que le dossier médical soit</w:t>
      </w:r>
      <w:r w:rsidR="003D3591">
        <w:t xml:space="preserve"> </w:t>
      </w:r>
      <w:r w:rsidR="003D3591" w:rsidRPr="003D3591">
        <w:rPr>
          <w:b/>
        </w:rPr>
        <w:t>COMPLET</w:t>
      </w:r>
      <w:r w:rsidRPr="00EA045B">
        <w:t xml:space="preserve"> </w:t>
      </w:r>
      <w:r w:rsidR="00F00F3C" w:rsidRPr="00EA045B">
        <w:t>avec la volonté du patient et</w:t>
      </w:r>
      <w:r w:rsidRPr="00EA045B">
        <w:t xml:space="preserve"> les informations données par le médecin.</w:t>
      </w:r>
      <w:r w:rsidRPr="0001006F">
        <w:t xml:space="preserve"> </w:t>
      </w:r>
    </w:p>
    <w:p w:rsidR="006C3AC0" w:rsidRPr="00D05538" w:rsidRDefault="006C3AC0" w:rsidP="006C3AC0">
      <w:pPr>
        <w:spacing w:after="200" w:line="276" w:lineRule="auto"/>
        <w:ind w:left="1701"/>
        <w:contextualSpacing/>
        <w:rPr>
          <w:rFonts w:cs="Arial"/>
          <w:b/>
          <w:color w:val="FF0000"/>
          <w:szCs w:val="20"/>
        </w:rPr>
      </w:pPr>
    </w:p>
    <w:p w:rsidR="00D05538" w:rsidRPr="003D3591" w:rsidRDefault="00D05538" w:rsidP="006C3AC0">
      <w:pPr>
        <w:numPr>
          <w:ilvl w:val="0"/>
          <w:numId w:val="13"/>
        </w:numPr>
        <w:spacing w:after="0" w:line="240" w:lineRule="auto"/>
        <w:ind w:left="142" w:hanging="284"/>
        <w:contextualSpacing/>
        <w:rPr>
          <w:i/>
          <w:u w:val="single"/>
        </w:rPr>
      </w:pPr>
      <w:r w:rsidRPr="003D3591">
        <w:rPr>
          <w:rFonts w:cs="Arial"/>
          <w:i/>
          <w:sz w:val="24"/>
          <w:szCs w:val="20"/>
          <w:u w:val="single"/>
        </w:rPr>
        <w:t>Ne pas hésiter à joindre le comité de liaison hospitalier des témoins de Jéhovah</w:t>
      </w:r>
    </w:p>
    <w:sectPr w:rsidR="00D05538" w:rsidRPr="003D3591" w:rsidSect="00E01806">
      <w:headerReference w:type="default" r:id="rId12"/>
      <w:footerReference w:type="default" r:id="rId1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60" w:rsidRDefault="00894B60" w:rsidP="00CE47D1">
      <w:pPr>
        <w:spacing w:after="0" w:line="240" w:lineRule="auto"/>
      </w:pPr>
      <w:r>
        <w:separator/>
      </w:r>
    </w:p>
  </w:endnote>
  <w:endnote w:type="continuationSeparator" w:id="0">
    <w:p w:rsidR="00894B60" w:rsidRDefault="00894B60" w:rsidP="00CE4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83" w:rsidRPr="00F3500B" w:rsidRDefault="002A07E7" w:rsidP="00554F14">
    <w:pPr>
      <w:pStyle w:val="Pieddepage"/>
      <w:rPr>
        <w:rFonts w:ascii="Arial" w:hAnsi="Arial" w:cs="Arial"/>
        <w:color w:val="000080"/>
        <w:sz w:val="14"/>
        <w:szCs w:val="16"/>
      </w:rPr>
    </w:pPr>
    <w:r>
      <w:rPr>
        <w:rFonts w:ascii="Arial" w:hAnsi="Arial" w:cs="Arial"/>
        <w:i/>
        <w:color w:val="000080"/>
        <w:sz w:val="12"/>
        <w:szCs w:val="16"/>
      </w:rPr>
      <w:t>HV</w:t>
    </w:r>
    <w:r w:rsidR="00D05538">
      <w:rPr>
        <w:rFonts w:ascii="Arial" w:hAnsi="Arial" w:cs="Arial"/>
        <w:i/>
        <w:color w:val="000080"/>
        <w:sz w:val="12"/>
        <w:szCs w:val="16"/>
      </w:rPr>
      <w:t>CVL/ES/TRANSFUSION/TEMOIN-JEHOVAH</w:t>
    </w:r>
  </w:p>
  <w:p w:rsidR="00E77183" w:rsidRDefault="00E77183" w:rsidP="00E77183">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60" w:rsidRDefault="00894B60" w:rsidP="00CE47D1">
      <w:pPr>
        <w:spacing w:after="0" w:line="240" w:lineRule="auto"/>
      </w:pPr>
      <w:r>
        <w:separator/>
      </w:r>
    </w:p>
  </w:footnote>
  <w:footnote w:type="continuationSeparator" w:id="0">
    <w:p w:rsidR="00894B60" w:rsidRDefault="00894B60" w:rsidP="00CE47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7D1" w:rsidRDefault="00273F0A"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273F0A">
      <w:rPr>
        <w:noProof/>
        <w:sz w:val="14"/>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178217</wp:posOffset>
              </wp:positionV>
              <wp:extent cx="5732060" cy="6994"/>
              <wp:effectExtent l="0" t="0" r="21590" b="31115"/>
              <wp:wrapNone/>
              <wp:docPr id="1" name="Connecteur droit 1"/>
              <wp:cNvGraphicFramePr/>
              <a:graphic xmlns:a="http://schemas.openxmlformats.org/drawingml/2006/main">
                <a:graphicData uri="http://schemas.microsoft.com/office/word/2010/wordprocessingShape">
                  <wps:wsp>
                    <wps:cNvCnPr/>
                    <wps:spPr>
                      <a:xfrm flipV="1">
                        <a:off x="0" y="0"/>
                        <a:ext cx="5732060" cy="6994"/>
                      </a:xfrm>
                      <a:prstGeom prst="line">
                        <a:avLst/>
                      </a:prstGeom>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DF2C39F" id="Connecteur droit 1" o:spid="_x0000_s1026" style="position:absolute;flip:y;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0.15pt,14.05pt" to="851.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WP5wwEAAM4DAAAOAAAAZHJzL2Uyb0RvYy54bWysU02P0zAQvSPxHyzfadLCFjZquoeu4IKg&#10;YmHvXmfcWPKXxt4m/feMnWxAgFYCcbH8Me/NvDfj3c1oDTsDRu1dy9ermjNw0nfanVr+7ev7V+84&#10;i0m4ThjvoOUXiPxm//LFbggNbHzvTQfIiMTFZggt71MKTVVF2YMVceUDOHpUHq1IdMRT1aEYiN2a&#10;alPX22rw2AX0EmKk29vpke8Lv1Ig02elIiRmWk61pbJiWR/yWu13ojmhCL2WcxniH6qwQjtKulDd&#10;iiTYI+rfqKyW6KNXaSW9rbxSWkLRQGrW9S9q7noRoGghc2JYbIr/j1Z+Oh+R6Y56x5kTllp08M6R&#10;b/CIrEOvE1tnl4YQGwo+uCPOpxiOmCWPCi1TRof7TJJvSBYbi8eXxWMYE5N0efX29abeUiskvW2v&#10;r99k8mpiydiAMX0Ab1netNxolx0QjTh/jGkKfQohXK5qqqPs0sVADjbuCyhSRfmmiso8wcEgOwua&#10;BCEluHQ1py7RGaa0MQuwLmmfBc7xGQpl1v4GvCBKZu/SArbaefxT9jSWVpBbaop/cmDSnS148N2l&#10;dKhYQ0NTzJ0HPE/lz+cC//EN998BAAD//wMAUEsDBBQABgAIAAAAIQC9BICZ3QAAAAYBAAAPAAAA&#10;ZHJzL2Rvd25yZXYueG1sTI9BT8MwDIXvSPyHyEjcWLoIxlaaTmiIAxKaxLoDx6zx2mqNUyXpVv49&#10;5sSOfs9+73Oxnlwvzhhi50nDfJaBQKq97ajRsK/eH5YgYjJkTe8JNfxghHV5e1OY3PoLfeF5lxrB&#10;IRRzo6FNaciljHWLzsSZH5DYO/rgTOIxNNIGc+Fw10uVZQvpTEfc0JoBNy3Wp93oGGPzqU7V0/Fx&#10;8f32sa8CbnGkrdb3d9PrC4iEU/pfhj98voGSmQ5+JBtFr4EfSRrUcg6C3VWmnkEcWFgpkGUhr/HL&#10;XwAAAP//AwBQSwECLQAUAAYACAAAACEAtoM4kv4AAADhAQAAEwAAAAAAAAAAAAAAAAAAAAAAW0Nv&#10;bnRlbnRfVHlwZXNdLnhtbFBLAQItABQABgAIAAAAIQA4/SH/1gAAAJQBAAALAAAAAAAAAAAAAAAA&#10;AC8BAABfcmVscy8ucmVsc1BLAQItABQABgAIAAAAIQB1VWP5wwEAAM4DAAAOAAAAAAAAAAAAAAAA&#10;AC4CAABkcnMvZTJvRG9jLnhtbFBLAQItABQABgAIAAAAIQC9BICZ3QAAAAYBAAAPAAAAAAAAAAAA&#10;AAAAAB0EAABkcnMvZG93bnJldi54bWxQSwUGAAAAAAQABADzAAAAJwUAAAAA&#10;" strokecolor="#4472c4 [3208]" strokeweight=".5pt">
              <v:stroke joinstyle="miter"/>
              <w10:wrap anchorx="margin"/>
            </v:line>
          </w:pict>
        </mc:Fallback>
      </mc:AlternateContent>
    </w:r>
    <w:r w:rsidRPr="00273F0A">
      <w:rPr>
        <w:noProof/>
        <w:sz w:val="14"/>
        <w:lang w:eastAsia="fr-FR"/>
      </w:rPr>
      <w:drawing>
        <wp:anchor distT="0" distB="0" distL="114300" distR="114300" simplePos="0" relativeHeight="251660288" behindDoc="1" locked="0" layoutInCell="1" allowOverlap="1">
          <wp:simplePos x="0" y="0"/>
          <wp:positionH relativeFrom="column">
            <wp:posOffset>150495</wp:posOffset>
          </wp:positionH>
          <wp:positionV relativeFrom="paragraph">
            <wp:posOffset>232410</wp:posOffset>
          </wp:positionV>
          <wp:extent cx="395785" cy="361154"/>
          <wp:effectExtent l="0" t="0" r="4445" b="127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HEMOVIGILA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5785" cy="361154"/>
                  </a:xfrm>
                  <a:prstGeom prst="rect">
                    <a:avLst/>
                  </a:prstGeom>
                </pic:spPr>
              </pic:pic>
            </a:graphicData>
          </a:graphic>
        </wp:anchor>
      </w:drawing>
    </w:r>
    <w:r w:rsidRPr="00273F0A">
      <w:rPr>
        <w:rFonts w:ascii="Times New Roman" w:hAnsi="Times New Roman" w:cs="Times New Roman"/>
        <w:noProof/>
        <w:sz w:val="16"/>
        <w:szCs w:val="24"/>
        <w:lang w:eastAsia="fr-FR"/>
      </w:rPr>
      <w:drawing>
        <wp:anchor distT="0" distB="0" distL="114300" distR="114300" simplePos="0" relativeHeight="251659264" behindDoc="1" locked="0" layoutInCell="1" allowOverlap="0" wp14:anchorId="5258606D" wp14:editId="23782684">
          <wp:simplePos x="0" y="0"/>
          <wp:positionH relativeFrom="margin">
            <wp:align>left</wp:align>
          </wp:positionH>
          <wp:positionV relativeFrom="line">
            <wp:posOffset>-163034</wp:posOffset>
          </wp:positionV>
          <wp:extent cx="808028" cy="300251"/>
          <wp:effectExtent l="0" t="0" r="0" b="508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8028" cy="300251"/>
                  </a:xfrm>
                  <a:prstGeom prst="rect">
                    <a:avLst/>
                  </a:prstGeom>
                  <a:noFill/>
                </pic:spPr>
              </pic:pic>
            </a:graphicData>
          </a:graphic>
          <wp14:sizeRelH relativeFrom="page">
            <wp14:pctWidth>0</wp14:pctWidth>
          </wp14:sizeRelH>
          <wp14:sizeRelV relativeFrom="page">
            <wp14:pctHeight>0</wp14:pctHeight>
          </wp14:sizeRelV>
        </wp:anchor>
      </w:drawing>
    </w:r>
    <w:r w:rsidRPr="00273F0A">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CELLULE REGIONALE D’HEMOVIGILANCE</w:t>
    </w:r>
  </w:p>
  <w:p w:rsidR="00F3500B" w:rsidRPr="00273F0A" w:rsidRDefault="00F3500B" w:rsidP="00273F0A">
    <w:pPr>
      <w:pStyle w:val="En-tte"/>
      <w:jc w:val="right"/>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sz w:val="2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Centre-Val de Loire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344"/>
    <w:multiLevelType w:val="hybridMultilevel"/>
    <w:tmpl w:val="1D105280"/>
    <w:lvl w:ilvl="0" w:tplc="3B2ECC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5556E8"/>
    <w:multiLevelType w:val="hybridMultilevel"/>
    <w:tmpl w:val="1236F476"/>
    <w:lvl w:ilvl="0" w:tplc="58180C8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F77207"/>
    <w:multiLevelType w:val="hybridMultilevel"/>
    <w:tmpl w:val="6462A34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B1A24F0"/>
    <w:multiLevelType w:val="hybridMultilevel"/>
    <w:tmpl w:val="A3F696FA"/>
    <w:lvl w:ilvl="0" w:tplc="5314AEE8">
      <w:start w:val="1"/>
      <w:numFmt w:val="lowerLetter"/>
      <w:lvlText w:val="%1)"/>
      <w:lvlJc w:val="left"/>
      <w:pPr>
        <w:ind w:left="3204" w:hanging="360"/>
      </w:pPr>
      <w:rPr>
        <w:rFonts w:hint="default"/>
      </w:rPr>
    </w:lvl>
    <w:lvl w:ilvl="1" w:tplc="040C0019" w:tentative="1">
      <w:start w:val="1"/>
      <w:numFmt w:val="lowerLetter"/>
      <w:lvlText w:val="%2."/>
      <w:lvlJc w:val="left"/>
      <w:pPr>
        <w:ind w:left="3924" w:hanging="360"/>
      </w:pPr>
    </w:lvl>
    <w:lvl w:ilvl="2" w:tplc="040C001B" w:tentative="1">
      <w:start w:val="1"/>
      <w:numFmt w:val="lowerRoman"/>
      <w:lvlText w:val="%3."/>
      <w:lvlJc w:val="right"/>
      <w:pPr>
        <w:ind w:left="4644" w:hanging="180"/>
      </w:pPr>
    </w:lvl>
    <w:lvl w:ilvl="3" w:tplc="040C000F" w:tentative="1">
      <w:start w:val="1"/>
      <w:numFmt w:val="decimal"/>
      <w:lvlText w:val="%4."/>
      <w:lvlJc w:val="left"/>
      <w:pPr>
        <w:ind w:left="5364" w:hanging="360"/>
      </w:pPr>
    </w:lvl>
    <w:lvl w:ilvl="4" w:tplc="040C0019" w:tentative="1">
      <w:start w:val="1"/>
      <w:numFmt w:val="lowerLetter"/>
      <w:lvlText w:val="%5."/>
      <w:lvlJc w:val="left"/>
      <w:pPr>
        <w:ind w:left="6084" w:hanging="360"/>
      </w:pPr>
    </w:lvl>
    <w:lvl w:ilvl="5" w:tplc="040C001B" w:tentative="1">
      <w:start w:val="1"/>
      <w:numFmt w:val="lowerRoman"/>
      <w:lvlText w:val="%6."/>
      <w:lvlJc w:val="right"/>
      <w:pPr>
        <w:ind w:left="6804" w:hanging="180"/>
      </w:pPr>
    </w:lvl>
    <w:lvl w:ilvl="6" w:tplc="040C000F" w:tentative="1">
      <w:start w:val="1"/>
      <w:numFmt w:val="decimal"/>
      <w:lvlText w:val="%7."/>
      <w:lvlJc w:val="left"/>
      <w:pPr>
        <w:ind w:left="7524" w:hanging="360"/>
      </w:pPr>
    </w:lvl>
    <w:lvl w:ilvl="7" w:tplc="040C0019" w:tentative="1">
      <w:start w:val="1"/>
      <w:numFmt w:val="lowerLetter"/>
      <w:lvlText w:val="%8."/>
      <w:lvlJc w:val="left"/>
      <w:pPr>
        <w:ind w:left="8244" w:hanging="360"/>
      </w:pPr>
    </w:lvl>
    <w:lvl w:ilvl="8" w:tplc="040C001B" w:tentative="1">
      <w:start w:val="1"/>
      <w:numFmt w:val="lowerRoman"/>
      <w:lvlText w:val="%9."/>
      <w:lvlJc w:val="right"/>
      <w:pPr>
        <w:ind w:left="8964" w:hanging="180"/>
      </w:pPr>
    </w:lvl>
  </w:abstractNum>
  <w:abstractNum w:abstractNumId="4" w15:restartNumberingAfterBreak="0">
    <w:nsid w:val="2BDA0059"/>
    <w:multiLevelType w:val="hybridMultilevel"/>
    <w:tmpl w:val="B4AE2B08"/>
    <w:lvl w:ilvl="0" w:tplc="040C0003">
      <w:start w:val="1"/>
      <w:numFmt w:val="bullet"/>
      <w:lvlText w:val="o"/>
      <w:lvlJc w:val="left"/>
      <w:pPr>
        <w:ind w:left="2138" w:hanging="360"/>
      </w:pPr>
      <w:rPr>
        <w:rFonts w:ascii="Courier New" w:hAnsi="Courier New" w:cs="Courier New"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5" w15:restartNumberingAfterBreak="0">
    <w:nsid w:val="311A7F07"/>
    <w:multiLevelType w:val="hybridMultilevel"/>
    <w:tmpl w:val="5164C80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6" w15:restartNumberingAfterBreak="0">
    <w:nsid w:val="36495F9E"/>
    <w:multiLevelType w:val="hybridMultilevel"/>
    <w:tmpl w:val="F3F0067A"/>
    <w:lvl w:ilvl="0" w:tplc="CBB0DEB8">
      <w:start w:val="2"/>
      <w:numFmt w:val="bullet"/>
      <w:lvlText w:val=""/>
      <w:lvlJc w:val="left"/>
      <w:pPr>
        <w:ind w:left="720" w:hanging="360"/>
      </w:pPr>
      <w:rPr>
        <w:rFonts w:ascii="Wingdings" w:eastAsia="Times New Roman" w:hAnsi="Wingdings" w:cs="Arial"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A96998"/>
    <w:multiLevelType w:val="hybridMultilevel"/>
    <w:tmpl w:val="23F24030"/>
    <w:lvl w:ilvl="0" w:tplc="E012AEEA">
      <w:numFmt w:val="bullet"/>
      <w:lvlText w:val=""/>
      <w:lvlJc w:val="left"/>
      <w:pPr>
        <w:ind w:left="720" w:hanging="360"/>
      </w:pPr>
      <w:rPr>
        <w:rFonts w:ascii="Wingdings" w:eastAsiaTheme="minorHAnsi" w:hAnsi="Wingdings" w:cstheme="minorBidi"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981C69"/>
    <w:multiLevelType w:val="hybridMultilevel"/>
    <w:tmpl w:val="5E6005CA"/>
    <w:lvl w:ilvl="0" w:tplc="A6AEE3B2">
      <w:start w:val="4"/>
      <w:numFmt w:val="bullet"/>
      <w:lvlText w:val="-"/>
      <w:lvlJc w:val="left"/>
      <w:pPr>
        <w:ind w:left="2428" w:hanging="360"/>
      </w:pPr>
      <w:rPr>
        <w:rFonts w:ascii="Calibri" w:eastAsiaTheme="minorEastAsia" w:hAnsi="Calibri" w:cstheme="minorBidi" w:hint="default"/>
      </w:rPr>
    </w:lvl>
    <w:lvl w:ilvl="1" w:tplc="040C0003" w:tentative="1">
      <w:start w:val="1"/>
      <w:numFmt w:val="bullet"/>
      <w:lvlText w:val="o"/>
      <w:lvlJc w:val="left"/>
      <w:pPr>
        <w:ind w:left="3148" w:hanging="360"/>
      </w:pPr>
      <w:rPr>
        <w:rFonts w:ascii="Courier New" w:hAnsi="Courier New" w:cs="Courier New" w:hint="default"/>
      </w:rPr>
    </w:lvl>
    <w:lvl w:ilvl="2" w:tplc="040C0005" w:tentative="1">
      <w:start w:val="1"/>
      <w:numFmt w:val="bullet"/>
      <w:lvlText w:val=""/>
      <w:lvlJc w:val="left"/>
      <w:pPr>
        <w:ind w:left="3868" w:hanging="360"/>
      </w:pPr>
      <w:rPr>
        <w:rFonts w:ascii="Wingdings" w:hAnsi="Wingdings" w:hint="default"/>
      </w:rPr>
    </w:lvl>
    <w:lvl w:ilvl="3" w:tplc="040C0001" w:tentative="1">
      <w:start w:val="1"/>
      <w:numFmt w:val="bullet"/>
      <w:lvlText w:val=""/>
      <w:lvlJc w:val="left"/>
      <w:pPr>
        <w:ind w:left="4588" w:hanging="360"/>
      </w:pPr>
      <w:rPr>
        <w:rFonts w:ascii="Symbol" w:hAnsi="Symbol" w:hint="default"/>
      </w:rPr>
    </w:lvl>
    <w:lvl w:ilvl="4" w:tplc="040C0003" w:tentative="1">
      <w:start w:val="1"/>
      <w:numFmt w:val="bullet"/>
      <w:lvlText w:val="o"/>
      <w:lvlJc w:val="left"/>
      <w:pPr>
        <w:ind w:left="5308" w:hanging="360"/>
      </w:pPr>
      <w:rPr>
        <w:rFonts w:ascii="Courier New" w:hAnsi="Courier New" w:cs="Courier New" w:hint="default"/>
      </w:rPr>
    </w:lvl>
    <w:lvl w:ilvl="5" w:tplc="040C0005" w:tentative="1">
      <w:start w:val="1"/>
      <w:numFmt w:val="bullet"/>
      <w:lvlText w:val=""/>
      <w:lvlJc w:val="left"/>
      <w:pPr>
        <w:ind w:left="6028" w:hanging="360"/>
      </w:pPr>
      <w:rPr>
        <w:rFonts w:ascii="Wingdings" w:hAnsi="Wingdings" w:hint="default"/>
      </w:rPr>
    </w:lvl>
    <w:lvl w:ilvl="6" w:tplc="040C0001" w:tentative="1">
      <w:start w:val="1"/>
      <w:numFmt w:val="bullet"/>
      <w:lvlText w:val=""/>
      <w:lvlJc w:val="left"/>
      <w:pPr>
        <w:ind w:left="6748" w:hanging="360"/>
      </w:pPr>
      <w:rPr>
        <w:rFonts w:ascii="Symbol" w:hAnsi="Symbol" w:hint="default"/>
      </w:rPr>
    </w:lvl>
    <w:lvl w:ilvl="7" w:tplc="040C0003" w:tentative="1">
      <w:start w:val="1"/>
      <w:numFmt w:val="bullet"/>
      <w:lvlText w:val="o"/>
      <w:lvlJc w:val="left"/>
      <w:pPr>
        <w:ind w:left="7468" w:hanging="360"/>
      </w:pPr>
      <w:rPr>
        <w:rFonts w:ascii="Courier New" w:hAnsi="Courier New" w:cs="Courier New" w:hint="default"/>
      </w:rPr>
    </w:lvl>
    <w:lvl w:ilvl="8" w:tplc="040C0005" w:tentative="1">
      <w:start w:val="1"/>
      <w:numFmt w:val="bullet"/>
      <w:lvlText w:val=""/>
      <w:lvlJc w:val="left"/>
      <w:pPr>
        <w:ind w:left="8188" w:hanging="360"/>
      </w:pPr>
      <w:rPr>
        <w:rFonts w:ascii="Wingdings" w:hAnsi="Wingdings" w:hint="default"/>
      </w:rPr>
    </w:lvl>
  </w:abstractNum>
  <w:abstractNum w:abstractNumId="9" w15:restartNumberingAfterBreak="0">
    <w:nsid w:val="47A7274C"/>
    <w:multiLevelType w:val="hybridMultilevel"/>
    <w:tmpl w:val="82A091A0"/>
    <w:lvl w:ilvl="0" w:tplc="356A7AF2">
      <w:start w:val="1"/>
      <w:numFmt w:val="decimal"/>
      <w:lvlText w:val="%1)"/>
      <w:lvlJc w:val="left"/>
      <w:pPr>
        <w:ind w:left="1068" w:hanging="708"/>
      </w:pPr>
      <w:rPr>
        <w:rFonts w:hint="default"/>
        <w:i/>
        <w:color w:val="7030A0"/>
        <w:sz w:val="28"/>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860B52"/>
    <w:multiLevelType w:val="hybridMultilevel"/>
    <w:tmpl w:val="72DAA052"/>
    <w:lvl w:ilvl="0" w:tplc="040C0001">
      <w:start w:val="1"/>
      <w:numFmt w:val="bullet"/>
      <w:lvlText w:val=""/>
      <w:lvlJc w:val="left"/>
      <w:pPr>
        <w:ind w:left="2458" w:hanging="360"/>
      </w:pPr>
      <w:rPr>
        <w:rFonts w:ascii="Symbol" w:hAnsi="Symbol" w:hint="default"/>
      </w:rPr>
    </w:lvl>
    <w:lvl w:ilvl="1" w:tplc="040C0003" w:tentative="1">
      <w:start w:val="1"/>
      <w:numFmt w:val="bullet"/>
      <w:lvlText w:val="o"/>
      <w:lvlJc w:val="left"/>
      <w:pPr>
        <w:ind w:left="3178" w:hanging="360"/>
      </w:pPr>
      <w:rPr>
        <w:rFonts w:ascii="Courier New" w:hAnsi="Courier New" w:cs="Courier New" w:hint="default"/>
      </w:rPr>
    </w:lvl>
    <w:lvl w:ilvl="2" w:tplc="040C0005" w:tentative="1">
      <w:start w:val="1"/>
      <w:numFmt w:val="bullet"/>
      <w:lvlText w:val=""/>
      <w:lvlJc w:val="left"/>
      <w:pPr>
        <w:ind w:left="3898" w:hanging="360"/>
      </w:pPr>
      <w:rPr>
        <w:rFonts w:ascii="Wingdings" w:hAnsi="Wingdings" w:hint="default"/>
      </w:rPr>
    </w:lvl>
    <w:lvl w:ilvl="3" w:tplc="040C0001" w:tentative="1">
      <w:start w:val="1"/>
      <w:numFmt w:val="bullet"/>
      <w:lvlText w:val=""/>
      <w:lvlJc w:val="left"/>
      <w:pPr>
        <w:ind w:left="4618" w:hanging="360"/>
      </w:pPr>
      <w:rPr>
        <w:rFonts w:ascii="Symbol" w:hAnsi="Symbol" w:hint="default"/>
      </w:rPr>
    </w:lvl>
    <w:lvl w:ilvl="4" w:tplc="040C0003" w:tentative="1">
      <w:start w:val="1"/>
      <w:numFmt w:val="bullet"/>
      <w:lvlText w:val="o"/>
      <w:lvlJc w:val="left"/>
      <w:pPr>
        <w:ind w:left="5338" w:hanging="360"/>
      </w:pPr>
      <w:rPr>
        <w:rFonts w:ascii="Courier New" w:hAnsi="Courier New" w:cs="Courier New" w:hint="default"/>
      </w:rPr>
    </w:lvl>
    <w:lvl w:ilvl="5" w:tplc="040C0005" w:tentative="1">
      <w:start w:val="1"/>
      <w:numFmt w:val="bullet"/>
      <w:lvlText w:val=""/>
      <w:lvlJc w:val="left"/>
      <w:pPr>
        <w:ind w:left="6058" w:hanging="360"/>
      </w:pPr>
      <w:rPr>
        <w:rFonts w:ascii="Wingdings" w:hAnsi="Wingdings" w:hint="default"/>
      </w:rPr>
    </w:lvl>
    <w:lvl w:ilvl="6" w:tplc="040C0001" w:tentative="1">
      <w:start w:val="1"/>
      <w:numFmt w:val="bullet"/>
      <w:lvlText w:val=""/>
      <w:lvlJc w:val="left"/>
      <w:pPr>
        <w:ind w:left="6778" w:hanging="360"/>
      </w:pPr>
      <w:rPr>
        <w:rFonts w:ascii="Symbol" w:hAnsi="Symbol" w:hint="default"/>
      </w:rPr>
    </w:lvl>
    <w:lvl w:ilvl="7" w:tplc="040C0003" w:tentative="1">
      <w:start w:val="1"/>
      <w:numFmt w:val="bullet"/>
      <w:lvlText w:val="o"/>
      <w:lvlJc w:val="left"/>
      <w:pPr>
        <w:ind w:left="7498" w:hanging="360"/>
      </w:pPr>
      <w:rPr>
        <w:rFonts w:ascii="Courier New" w:hAnsi="Courier New" w:cs="Courier New" w:hint="default"/>
      </w:rPr>
    </w:lvl>
    <w:lvl w:ilvl="8" w:tplc="040C0005" w:tentative="1">
      <w:start w:val="1"/>
      <w:numFmt w:val="bullet"/>
      <w:lvlText w:val=""/>
      <w:lvlJc w:val="left"/>
      <w:pPr>
        <w:ind w:left="8218" w:hanging="360"/>
      </w:pPr>
      <w:rPr>
        <w:rFonts w:ascii="Wingdings" w:hAnsi="Wingdings" w:hint="default"/>
      </w:rPr>
    </w:lvl>
  </w:abstractNum>
  <w:abstractNum w:abstractNumId="11" w15:restartNumberingAfterBreak="0">
    <w:nsid w:val="4BDF7A19"/>
    <w:multiLevelType w:val="hybridMultilevel"/>
    <w:tmpl w:val="DF94B2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0F2D5F"/>
    <w:multiLevelType w:val="hybridMultilevel"/>
    <w:tmpl w:val="874E4E20"/>
    <w:lvl w:ilvl="0" w:tplc="1C08D32A">
      <w:numFmt w:val="bullet"/>
      <w:lvlText w:val="-"/>
      <w:lvlJc w:val="left"/>
      <w:pPr>
        <w:ind w:left="1080" w:hanging="360"/>
      </w:pPr>
      <w:rPr>
        <w:rFonts w:ascii="Calibri" w:eastAsiaTheme="minorHAnsi" w:hAnsi="Calibri" w:cs="Calibri"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4C556EB"/>
    <w:multiLevelType w:val="hybridMultilevel"/>
    <w:tmpl w:val="EFD09C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5B71BB5"/>
    <w:multiLevelType w:val="hybridMultilevel"/>
    <w:tmpl w:val="F0FC9600"/>
    <w:lvl w:ilvl="0" w:tplc="29C8449C">
      <w:numFmt w:val="bullet"/>
      <w:lvlText w:val=""/>
      <w:lvlJc w:val="left"/>
      <w:pPr>
        <w:ind w:left="720" w:hanging="360"/>
      </w:pPr>
      <w:rPr>
        <w:rFonts w:ascii="Wingdings" w:eastAsiaTheme="minorHAnsi" w:hAnsi="Wingdings" w:cstheme="minorBidi" w:hint="default"/>
        <w:b w:val="0"/>
        <w:i w:val="0"/>
        <w:color w:val="C0000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BB676B"/>
    <w:multiLevelType w:val="hybridMultilevel"/>
    <w:tmpl w:val="6DA27400"/>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E453769"/>
    <w:multiLevelType w:val="hybridMultilevel"/>
    <w:tmpl w:val="11AE8082"/>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6F236D4F"/>
    <w:multiLevelType w:val="hybridMultilevel"/>
    <w:tmpl w:val="8DD82D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5841EB5"/>
    <w:multiLevelType w:val="hybridMultilevel"/>
    <w:tmpl w:val="76E0D4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7"/>
  </w:num>
  <w:num w:numId="4">
    <w:abstractNumId w:val="13"/>
  </w:num>
  <w:num w:numId="5">
    <w:abstractNumId w:val="15"/>
  </w:num>
  <w:num w:numId="6">
    <w:abstractNumId w:val="2"/>
  </w:num>
  <w:num w:numId="7">
    <w:abstractNumId w:val="7"/>
  </w:num>
  <w:num w:numId="8">
    <w:abstractNumId w:val="4"/>
  </w:num>
  <w:num w:numId="9">
    <w:abstractNumId w:val="14"/>
  </w:num>
  <w:num w:numId="10">
    <w:abstractNumId w:val="9"/>
  </w:num>
  <w:num w:numId="11">
    <w:abstractNumId w:val="8"/>
  </w:num>
  <w:num w:numId="12">
    <w:abstractNumId w:val="3"/>
  </w:num>
  <w:num w:numId="13">
    <w:abstractNumId w:val="6"/>
  </w:num>
  <w:num w:numId="14">
    <w:abstractNumId w:val="10"/>
  </w:num>
  <w:num w:numId="15">
    <w:abstractNumId w:val="18"/>
  </w:num>
  <w:num w:numId="16">
    <w:abstractNumId w:val="16"/>
  </w:num>
  <w:num w:numId="17">
    <w:abstractNumId w:val="5"/>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7D1"/>
    <w:rsid w:val="000205B4"/>
    <w:rsid w:val="000579B2"/>
    <w:rsid w:val="00072B6C"/>
    <w:rsid w:val="00092007"/>
    <w:rsid w:val="000944BB"/>
    <w:rsid w:val="0014394F"/>
    <w:rsid w:val="00154CC5"/>
    <w:rsid w:val="00186CD5"/>
    <w:rsid w:val="001A018F"/>
    <w:rsid w:val="001A57BB"/>
    <w:rsid w:val="001F298C"/>
    <w:rsid w:val="001F5A1F"/>
    <w:rsid w:val="001F6AB9"/>
    <w:rsid w:val="0020392F"/>
    <w:rsid w:val="0025104A"/>
    <w:rsid w:val="00273F0A"/>
    <w:rsid w:val="0029033F"/>
    <w:rsid w:val="002A07E7"/>
    <w:rsid w:val="002C4E2D"/>
    <w:rsid w:val="002D2D2D"/>
    <w:rsid w:val="002E2A46"/>
    <w:rsid w:val="002F6C51"/>
    <w:rsid w:val="0033287C"/>
    <w:rsid w:val="0034566B"/>
    <w:rsid w:val="003B2B40"/>
    <w:rsid w:val="003D3591"/>
    <w:rsid w:val="00406D52"/>
    <w:rsid w:val="00446BFA"/>
    <w:rsid w:val="00470594"/>
    <w:rsid w:val="004916AE"/>
    <w:rsid w:val="00526625"/>
    <w:rsid w:val="00554F14"/>
    <w:rsid w:val="005A57BF"/>
    <w:rsid w:val="005B050B"/>
    <w:rsid w:val="0061450D"/>
    <w:rsid w:val="006208E1"/>
    <w:rsid w:val="006314D5"/>
    <w:rsid w:val="006754D0"/>
    <w:rsid w:val="006A5424"/>
    <w:rsid w:val="006C3AC0"/>
    <w:rsid w:val="00734F1B"/>
    <w:rsid w:val="007439A8"/>
    <w:rsid w:val="0077607E"/>
    <w:rsid w:val="007C1278"/>
    <w:rsid w:val="008061B9"/>
    <w:rsid w:val="008606EC"/>
    <w:rsid w:val="00894B60"/>
    <w:rsid w:val="008C63F6"/>
    <w:rsid w:val="008D59AB"/>
    <w:rsid w:val="008F0DC7"/>
    <w:rsid w:val="00926B36"/>
    <w:rsid w:val="00936547"/>
    <w:rsid w:val="009E7C8D"/>
    <w:rsid w:val="00A246FD"/>
    <w:rsid w:val="00A40FC0"/>
    <w:rsid w:val="00A80F10"/>
    <w:rsid w:val="00A825BC"/>
    <w:rsid w:val="00A9696D"/>
    <w:rsid w:val="00A97163"/>
    <w:rsid w:val="00AB2D63"/>
    <w:rsid w:val="00AF6201"/>
    <w:rsid w:val="00B432ED"/>
    <w:rsid w:val="00B57197"/>
    <w:rsid w:val="00B7265B"/>
    <w:rsid w:val="00B961B1"/>
    <w:rsid w:val="00BC2062"/>
    <w:rsid w:val="00BC63D7"/>
    <w:rsid w:val="00BE1D31"/>
    <w:rsid w:val="00BF3B21"/>
    <w:rsid w:val="00C331EA"/>
    <w:rsid w:val="00C80EFE"/>
    <w:rsid w:val="00CE47D1"/>
    <w:rsid w:val="00D05538"/>
    <w:rsid w:val="00D34273"/>
    <w:rsid w:val="00D806C2"/>
    <w:rsid w:val="00DC36D8"/>
    <w:rsid w:val="00E01806"/>
    <w:rsid w:val="00E2356D"/>
    <w:rsid w:val="00E365BE"/>
    <w:rsid w:val="00E6613C"/>
    <w:rsid w:val="00E71160"/>
    <w:rsid w:val="00E77183"/>
    <w:rsid w:val="00E8629C"/>
    <w:rsid w:val="00E96044"/>
    <w:rsid w:val="00EA045B"/>
    <w:rsid w:val="00ED421C"/>
    <w:rsid w:val="00F00F3C"/>
    <w:rsid w:val="00F3500B"/>
    <w:rsid w:val="00FC53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B24511"/>
  <w15:chartTrackingRefBased/>
  <w15:docId w15:val="{D50D74A9-38AB-4799-8ADD-56876674E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E47D1"/>
    <w:pPr>
      <w:tabs>
        <w:tab w:val="center" w:pos="4536"/>
        <w:tab w:val="right" w:pos="9072"/>
      </w:tabs>
      <w:spacing w:after="0" w:line="240" w:lineRule="auto"/>
    </w:pPr>
  </w:style>
  <w:style w:type="character" w:customStyle="1" w:styleId="En-tteCar">
    <w:name w:val="En-tête Car"/>
    <w:basedOn w:val="Policepardfaut"/>
    <w:link w:val="En-tte"/>
    <w:uiPriority w:val="99"/>
    <w:rsid w:val="00CE47D1"/>
  </w:style>
  <w:style w:type="paragraph" w:styleId="Pieddepage">
    <w:name w:val="footer"/>
    <w:basedOn w:val="Normal"/>
    <w:link w:val="PieddepageCar"/>
    <w:uiPriority w:val="99"/>
    <w:unhideWhenUsed/>
    <w:rsid w:val="00CE47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E47D1"/>
  </w:style>
  <w:style w:type="paragraph" w:styleId="Paragraphedeliste">
    <w:name w:val="List Paragraph"/>
    <w:basedOn w:val="Normal"/>
    <w:uiPriority w:val="34"/>
    <w:qFormat/>
    <w:rsid w:val="00CE47D1"/>
    <w:pPr>
      <w:ind w:left="720"/>
      <w:contextualSpacing/>
    </w:pPr>
  </w:style>
  <w:style w:type="character" w:styleId="Lienhypertexte">
    <w:name w:val="Hyperlink"/>
    <w:basedOn w:val="Policepardfaut"/>
    <w:uiPriority w:val="99"/>
    <w:unhideWhenUsed/>
    <w:rsid w:val="008F0DC7"/>
    <w:rPr>
      <w:color w:val="0000FF"/>
      <w:u w:val="single"/>
    </w:rPr>
  </w:style>
  <w:style w:type="table" w:styleId="Grilledutableau">
    <w:name w:val="Table Grid"/>
    <w:basedOn w:val="TableauNormal"/>
    <w:uiPriority w:val="39"/>
    <w:rsid w:val="00273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FC53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xtedebulles">
    <w:name w:val="Balloon Text"/>
    <w:basedOn w:val="Normal"/>
    <w:link w:val="TextedebullesCar"/>
    <w:uiPriority w:val="99"/>
    <w:semiHidden/>
    <w:unhideWhenUsed/>
    <w:rsid w:val="005A57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57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d.fr@jw.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w.org/fr/informations-medicales/informations-medicales/position-religieuse-et-ethique-traitements-medicau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has-sant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5BAD4-0F84-4FA8-B7D2-F355B65E9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1391</Words>
  <Characters>7652</Characters>
  <Application>Microsoft Office Word</Application>
  <DocSecurity>4</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ARS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 Marjorie</dc:creator>
  <cp:keywords/>
  <dc:description/>
  <cp:lastModifiedBy>BLIN, Marjorie (ARS-CVL)</cp:lastModifiedBy>
  <cp:revision>2</cp:revision>
  <cp:lastPrinted>2023-11-20T08:19:00Z</cp:lastPrinted>
  <dcterms:created xsi:type="dcterms:W3CDTF">2024-04-15T09:08:00Z</dcterms:created>
  <dcterms:modified xsi:type="dcterms:W3CDTF">2024-04-15T09:08:00Z</dcterms:modified>
</cp:coreProperties>
</file>