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Grille4-Accentuation1"/>
        <w:tblpPr w:leftFromText="141" w:rightFromText="141" w:vertAnchor="text" w:horzAnchor="margin" w:tblpY="760"/>
        <w:tblW w:w="0" w:type="auto"/>
        <w:tblLook w:val="04A0" w:firstRow="1" w:lastRow="0" w:firstColumn="1" w:lastColumn="0" w:noHBand="0" w:noVBand="1"/>
      </w:tblPr>
      <w:tblGrid>
        <w:gridCol w:w="9062"/>
      </w:tblGrid>
      <w:tr w:rsidR="00273F0A" w:rsidTr="00E77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Default="005D6669" w:rsidP="00E77183">
            <w:r>
              <w:rPr>
                <w:sz w:val="24"/>
              </w:rPr>
              <w:t>HVCVL/DOSSIER-T</w:t>
            </w:r>
            <w:r w:rsidR="003031D9">
              <w:rPr>
                <w:sz w:val="24"/>
              </w:rPr>
              <w:t>RANSFUSIONNEL/CHECK-LIST</w:t>
            </w:r>
          </w:p>
        </w:tc>
      </w:tr>
      <w:tr w:rsidR="00273F0A"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rédaction : </w:t>
            </w:r>
            <w:r w:rsidR="003031D9">
              <w:rPr>
                <w:b w:val="0"/>
                <w:sz w:val="18"/>
              </w:rPr>
              <w:t>07/2017</w:t>
            </w:r>
          </w:p>
        </w:tc>
      </w:tr>
      <w:tr w:rsidR="00273F0A" w:rsidTr="00E77183">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FD1B8C">
            <w:pPr>
              <w:rPr>
                <w:sz w:val="18"/>
              </w:rPr>
            </w:pPr>
            <w:r w:rsidRPr="00B432ED">
              <w:rPr>
                <w:sz w:val="18"/>
              </w:rPr>
              <w:t xml:space="preserve">Date de diffusion : </w:t>
            </w:r>
            <w:r w:rsidR="00FD1B8C">
              <w:rPr>
                <w:b w:val="0"/>
                <w:sz w:val="18"/>
              </w:rPr>
              <w:t>01/01/2022</w:t>
            </w:r>
          </w:p>
        </w:tc>
      </w:tr>
      <w:tr w:rsidR="00FC530B"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C530B" w:rsidRPr="00B432ED" w:rsidRDefault="00FC530B" w:rsidP="00E77183">
            <w:pPr>
              <w:rPr>
                <w:sz w:val="18"/>
              </w:rPr>
            </w:pPr>
            <w:r w:rsidRPr="00B432ED">
              <w:rPr>
                <w:sz w:val="18"/>
              </w:rPr>
              <w:t>Version </w:t>
            </w:r>
            <w:r w:rsidRPr="00FD1B8C">
              <w:rPr>
                <w:sz w:val="18"/>
              </w:rPr>
              <w:t xml:space="preserve">: </w:t>
            </w:r>
            <w:r w:rsidR="002D37B1" w:rsidRPr="00FD1B8C">
              <w:rPr>
                <w:b w:val="0"/>
                <w:sz w:val="18"/>
              </w:rPr>
              <w:t>04</w:t>
            </w:r>
          </w:p>
        </w:tc>
      </w:tr>
    </w:tbl>
    <w:p w:rsidR="00E77183" w:rsidRDefault="00E77183"/>
    <w:p w:rsidR="00E77183" w:rsidRDefault="00E77183"/>
    <w:p w:rsidR="00470594" w:rsidRDefault="00470594"/>
    <w:p w:rsidR="00470594" w:rsidRDefault="00E77183">
      <w:r>
        <w:rPr>
          <w:noProof/>
          <w:lang w:eastAsia="fr-F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102372</wp:posOffset>
                </wp:positionV>
                <wp:extent cx="5745167" cy="337752"/>
                <wp:effectExtent l="0" t="0" r="27305" b="24765"/>
                <wp:wrapNone/>
                <wp:docPr id="3" name="Rectangle 3"/>
                <wp:cNvGraphicFramePr/>
                <a:graphic xmlns:a="http://schemas.openxmlformats.org/drawingml/2006/main">
                  <a:graphicData uri="http://schemas.microsoft.com/office/word/2010/wordprocessingShape">
                    <wps:wsp>
                      <wps:cNvSpPr/>
                      <wps:spPr>
                        <a:xfrm>
                          <a:off x="0" y="0"/>
                          <a:ext cx="5745167" cy="33775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530B" w:rsidRPr="00FC530B" w:rsidRDefault="003031D9" w:rsidP="00FC530B">
                            <w:pPr>
                              <w:rPr>
                                <w:b/>
                                <w:sz w:val="28"/>
                              </w:rPr>
                            </w:pPr>
                            <w:r>
                              <w:rPr>
                                <w:b/>
                                <w:sz w:val="28"/>
                              </w:rPr>
                              <w:t xml:space="preserve">Check </w:t>
                            </w:r>
                            <w:proofErr w:type="spellStart"/>
                            <w:r>
                              <w:rPr>
                                <w:b/>
                                <w:sz w:val="28"/>
                              </w:rPr>
                              <w:t>list</w:t>
                            </w:r>
                            <w:proofErr w:type="spellEnd"/>
                            <w:r>
                              <w:rPr>
                                <w:b/>
                                <w:sz w:val="28"/>
                              </w:rPr>
                              <w:t xml:space="preserve"> transfusion</w:t>
                            </w:r>
                            <w:r w:rsidR="00FC530B" w:rsidRPr="00FC530B">
                              <w:rPr>
                                <w:b/>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0;margin-top:8.05pt;width:452.4pt;height:26.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" fillcolor="#5b9bd5 [3204]" strokecolor="#1f4d78 [1604]" strokeweight="1pt">
                <v:textbox>
                  <w:txbxContent>
                    <w:p w:rsidR="00FC530B" w:rsidRPr="00FC530B" w:rsidRDefault="003031D9" w:rsidP="00FC530B">
                      <w:pPr>
                        <w:rPr>
                          <w:b/>
                          <w:sz w:val="28"/>
                        </w:rPr>
                      </w:pPr>
                      <w:r>
                        <w:rPr>
                          <w:b/>
                          <w:sz w:val="28"/>
                        </w:rPr>
                        <w:t xml:space="preserve">Check </w:t>
                      </w:r>
                      <w:proofErr w:type="spellStart"/>
                      <w:r>
                        <w:rPr>
                          <w:b/>
                          <w:sz w:val="28"/>
                        </w:rPr>
                        <w:t>list</w:t>
                      </w:r>
                      <w:proofErr w:type="spellEnd"/>
                      <w:r>
                        <w:rPr>
                          <w:b/>
                          <w:sz w:val="28"/>
                        </w:rPr>
                        <w:t xml:space="preserve"> transfusion</w:t>
                      </w:r>
                      <w:r w:rsidR="00FC530B" w:rsidRPr="00FC530B">
                        <w:rPr>
                          <w:b/>
                          <w:sz w:val="28"/>
                        </w:rPr>
                        <w:t xml:space="preserve"> </w:t>
                      </w:r>
                    </w:p>
                  </w:txbxContent>
                </v:textbox>
                <w10:wrap anchorx="margin"/>
              </v:rect>
            </w:pict>
          </mc:Fallback>
        </mc:AlternateContent>
      </w:r>
    </w:p>
    <w:p w:rsidR="00470594" w:rsidRDefault="00470594"/>
    <w:p w:rsidR="003031D9" w:rsidRDefault="003031D9" w:rsidP="003031D9">
      <w:pPr>
        <w:rPr>
          <w:b/>
          <w:i/>
          <w:u w:val="single"/>
        </w:rPr>
      </w:pPr>
    </w:p>
    <w:p w:rsidR="003031D9" w:rsidRDefault="003031D9" w:rsidP="003031D9">
      <w:pPr>
        <w:rPr>
          <w:b/>
          <w:i/>
          <w:u w:val="single"/>
        </w:rPr>
      </w:pPr>
    </w:p>
    <w:p w:rsidR="003031D9" w:rsidRPr="00E77183" w:rsidRDefault="003031D9" w:rsidP="003031D9">
      <w:pPr>
        <w:rPr>
          <w:b/>
          <w:i/>
        </w:rPr>
      </w:pPr>
      <w:r w:rsidRPr="00E77183">
        <w:rPr>
          <w:b/>
          <w:i/>
          <w:u w:val="single"/>
        </w:rPr>
        <w:t>Objectifs</w:t>
      </w:r>
      <w:r w:rsidRPr="00E77183">
        <w:rPr>
          <w:b/>
          <w:i/>
        </w:rPr>
        <w:t> :</w:t>
      </w:r>
    </w:p>
    <w:p w:rsidR="003031D9" w:rsidRDefault="003031D9" w:rsidP="003031D9">
      <w:r>
        <w:t>Décris les étapes lors d’une transfusion sanguine</w:t>
      </w:r>
    </w:p>
    <w:p w:rsidR="003031D9" w:rsidRDefault="003031D9" w:rsidP="003031D9">
      <w:r w:rsidRPr="00E77183">
        <w:rPr>
          <w:b/>
          <w:i/>
          <w:u w:val="single"/>
        </w:rPr>
        <w:t>Textes de références</w:t>
      </w:r>
      <w:r>
        <w:t> :</w:t>
      </w:r>
    </w:p>
    <w:p w:rsidR="003031D9" w:rsidRDefault="003031D9" w:rsidP="003031D9">
      <w:pPr>
        <w:pStyle w:val="Paragraphedeliste"/>
        <w:numPr>
          <w:ilvl w:val="0"/>
          <w:numId w:val="33"/>
        </w:numPr>
        <w:spacing w:after="0" w:line="240" w:lineRule="auto"/>
        <w:ind w:left="709"/>
      </w:pPr>
      <w:r>
        <w:rPr>
          <w:rFonts w:eastAsia="Times New Roman" w:cs="Arial"/>
          <w:sz w:val="20"/>
          <w:szCs w:val="24"/>
          <w:lang w:eastAsia="fr-FR"/>
        </w:rPr>
        <w:t>Instruction N° DGS/PP4/DGOS/PF2/2021/230 du 16 novembre 2021 concernant la réalisation de l’acte transfusionnel</w:t>
      </w:r>
    </w:p>
    <w:p w:rsidR="003031D9" w:rsidRPr="00EE164E" w:rsidRDefault="003031D9" w:rsidP="003031D9">
      <w:pPr>
        <w:pStyle w:val="Paragraphedeliste"/>
        <w:numPr>
          <w:ilvl w:val="0"/>
          <w:numId w:val="31"/>
        </w:numPr>
        <w:spacing w:after="0"/>
        <w:ind w:left="567"/>
      </w:pPr>
      <w:r w:rsidRPr="00EE164E">
        <w:rPr>
          <w:rFonts w:eastAsia="Times New Roman" w:cstheme="minorHAnsi"/>
          <w:kern w:val="36"/>
          <w:lang w:eastAsia="fr-FR"/>
        </w:rPr>
        <w:t>Décret n° 2019-1036 du 8 octobre 2019 modifiant le décret n° 2017-412 du 27 mars 2017 relatif à l'utilisation du numéro d'inscription au répertoire national d'identification des personnes physiques comme identifiant national de santé et les articles R. 1111-8-1 à R. 1111-8-7 du code de la santé publique</w:t>
      </w:r>
    </w:p>
    <w:p w:rsidR="002D37B1" w:rsidRDefault="002D37B1" w:rsidP="002D37B1">
      <w:pPr>
        <w:pStyle w:val="Paragraphedeliste"/>
        <w:spacing w:line="256" w:lineRule="auto"/>
      </w:pPr>
    </w:p>
    <w:p w:rsidR="00470594" w:rsidRDefault="00470594"/>
    <w:p w:rsidR="00470594" w:rsidRDefault="00470594"/>
    <w:p w:rsidR="00470594" w:rsidRDefault="00470594"/>
    <w:p w:rsidR="00470594" w:rsidRDefault="00470594"/>
    <w:p w:rsidR="00470594" w:rsidRDefault="00470594"/>
    <w:p w:rsidR="00470594" w:rsidRDefault="00470594"/>
    <w:p w:rsidR="00470594" w:rsidRDefault="00470594"/>
    <w:p w:rsidR="00470594" w:rsidRDefault="00470594"/>
    <w:p w:rsidR="00470594" w:rsidRDefault="00470594"/>
    <w:tbl>
      <w:tblPr>
        <w:tblStyle w:val="TableauGrille4-Accentuation1"/>
        <w:tblpPr w:leftFromText="141" w:rightFromText="141" w:vertAnchor="text" w:horzAnchor="margin" w:tblpY="285"/>
        <w:tblW w:w="0" w:type="auto"/>
        <w:tblLook w:val="04A0" w:firstRow="1" w:lastRow="0" w:firstColumn="1" w:lastColumn="0" w:noHBand="0" w:noVBand="1"/>
      </w:tblPr>
      <w:tblGrid>
        <w:gridCol w:w="2972"/>
        <w:gridCol w:w="3119"/>
        <w:gridCol w:w="2971"/>
      </w:tblGrid>
      <w:tr w:rsidR="00E2356D" w:rsidTr="00554F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E2356D" w:rsidRDefault="00E2356D" w:rsidP="00043281">
            <w:r>
              <w:t>Rédacteur</w:t>
            </w:r>
          </w:p>
        </w:tc>
        <w:tc>
          <w:tcPr>
            <w:tcW w:w="3119"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Vérificateur</w:t>
            </w:r>
          </w:p>
        </w:tc>
        <w:tc>
          <w:tcPr>
            <w:tcW w:w="2971"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Approbateur</w:t>
            </w:r>
          </w:p>
        </w:tc>
      </w:tr>
      <w:tr w:rsidR="00E2356D" w:rsidTr="00554F1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972" w:type="dxa"/>
          </w:tcPr>
          <w:p w:rsidR="003031D9" w:rsidRPr="00F72E1E" w:rsidRDefault="003031D9" w:rsidP="003031D9">
            <w:pPr>
              <w:rPr>
                <w:b w:val="0"/>
                <w:sz w:val="18"/>
              </w:rPr>
            </w:pPr>
            <w:proofErr w:type="spellStart"/>
            <w:proofErr w:type="gramStart"/>
            <w:r w:rsidRPr="00F72E1E">
              <w:rPr>
                <w:sz w:val="18"/>
              </w:rPr>
              <w:t>Dr.SAPEY</w:t>
            </w:r>
            <w:proofErr w:type="spellEnd"/>
            <w:proofErr w:type="gramEnd"/>
          </w:p>
          <w:p w:rsidR="003031D9" w:rsidRPr="003031D9" w:rsidRDefault="003031D9" w:rsidP="003031D9">
            <w:pPr>
              <w:rPr>
                <w:b w:val="0"/>
                <w:sz w:val="16"/>
              </w:rPr>
            </w:pPr>
            <w:r w:rsidRPr="003031D9">
              <w:rPr>
                <w:b w:val="0"/>
                <w:sz w:val="16"/>
              </w:rPr>
              <w:t>Coordonnateur Régional d’Hémovigilance et de Sécurité Transfusionnelle</w:t>
            </w:r>
          </w:p>
          <w:p w:rsidR="00E2356D" w:rsidRPr="003575B4" w:rsidRDefault="00E2356D" w:rsidP="003575B4">
            <w:pPr>
              <w:rPr>
                <w:b w:val="0"/>
                <w:sz w:val="18"/>
              </w:rPr>
            </w:pPr>
          </w:p>
        </w:tc>
        <w:tc>
          <w:tcPr>
            <w:tcW w:w="3119" w:type="dxa"/>
          </w:tcPr>
          <w:p w:rsidR="003031D9" w:rsidRPr="00F72E1E" w:rsidRDefault="003031D9" w:rsidP="003031D9">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3031D9" w:rsidRDefault="003031D9" w:rsidP="003031D9">
            <w:pPr>
              <w:cnfStyle w:val="000000100000" w:firstRow="0" w:lastRow="0" w:firstColumn="0" w:lastColumn="0" w:oddVBand="0" w:evenVBand="0" w:oddHBand="1" w:evenHBand="0" w:firstRowFirstColumn="0" w:firstRowLastColumn="0" w:lastRowFirstColumn="0" w:lastRowLastColumn="0"/>
              <w:rPr>
                <w:sz w:val="16"/>
              </w:rPr>
            </w:pPr>
            <w:r w:rsidRPr="00E77183">
              <w:rPr>
                <w:sz w:val="16"/>
              </w:rPr>
              <w:t>Coordonnateur Régional d’Hémovigilance et de Sécurité Transfusionnelle</w:t>
            </w:r>
          </w:p>
          <w:p w:rsidR="003031D9" w:rsidRPr="00554F14" w:rsidRDefault="003031D9" w:rsidP="003031D9">
            <w:pPr>
              <w:cnfStyle w:val="000000100000" w:firstRow="0" w:lastRow="0" w:firstColumn="0" w:lastColumn="0" w:oddVBand="0" w:evenVBand="0" w:oddHBand="1" w:evenHBand="0" w:firstRowFirstColumn="0" w:firstRowLastColumn="0" w:lastRowFirstColumn="0" w:lastRowLastColumn="0"/>
              <w:rPr>
                <w:b/>
                <w:sz w:val="18"/>
              </w:rPr>
            </w:pPr>
            <w:r w:rsidRPr="00554F14">
              <w:rPr>
                <w:b/>
                <w:sz w:val="18"/>
              </w:rPr>
              <w:t>Mme Marjorie BLIN</w:t>
            </w:r>
          </w:p>
          <w:p w:rsidR="00554F14" w:rsidRPr="00F72E1E" w:rsidRDefault="003031D9" w:rsidP="003031D9">
            <w:pPr>
              <w:cnfStyle w:val="000000100000" w:firstRow="0" w:lastRow="0" w:firstColumn="0" w:lastColumn="0" w:oddVBand="0" w:evenVBand="0" w:oddHBand="1" w:evenHBand="0" w:firstRowFirstColumn="0" w:firstRowLastColumn="0" w:lastRowFirstColumn="0" w:lastRowLastColumn="0"/>
              <w:rPr>
                <w:b/>
                <w:sz w:val="18"/>
              </w:rPr>
            </w:pPr>
            <w:r>
              <w:rPr>
                <w:sz w:val="16"/>
              </w:rPr>
              <w:t>Assistante</w:t>
            </w:r>
            <w:r w:rsidRPr="00F72E1E">
              <w:rPr>
                <w:b/>
                <w:sz w:val="18"/>
              </w:rPr>
              <w:t xml:space="preserve"> </w:t>
            </w:r>
          </w:p>
        </w:tc>
        <w:tc>
          <w:tcPr>
            <w:tcW w:w="2971"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Pr="00E77183" w:rsidRDefault="00E2356D" w:rsidP="00043281">
            <w:pPr>
              <w:cnfStyle w:val="000000100000" w:firstRow="0" w:lastRow="0" w:firstColumn="0" w:lastColumn="0" w:oddVBand="0" w:evenVBand="0" w:oddHBand="1" w:evenHBand="0" w:firstRowFirstColumn="0" w:firstRowLastColumn="0" w:lastRowFirstColumn="0" w:lastRowLastColumn="0"/>
              <w:rPr>
                <w:sz w:val="18"/>
              </w:rPr>
            </w:pPr>
            <w:r w:rsidRPr="00E77183">
              <w:rPr>
                <w:sz w:val="16"/>
              </w:rPr>
              <w:t>Coordonnateur Régional d’Hémovigilance et de Sécurité Transfusionnelle</w:t>
            </w:r>
          </w:p>
        </w:tc>
      </w:tr>
    </w:tbl>
    <w:p w:rsidR="00470594" w:rsidRDefault="00470594"/>
    <w:p w:rsidR="00470594" w:rsidRDefault="00470594"/>
    <w:p w:rsidR="003575B4" w:rsidRDefault="003575B4" w:rsidP="003575B4">
      <w:pPr>
        <w:jc w:val="center"/>
        <w:rPr>
          <w:b/>
          <w:sz w:val="24"/>
        </w:rPr>
      </w:pPr>
      <w:r w:rsidRPr="003575B4">
        <w:rPr>
          <w:noProof/>
          <w:sz w:val="24"/>
          <w:lang w:eastAsia="fr-FR"/>
        </w:rPr>
        <w:drawing>
          <wp:anchor distT="0" distB="0" distL="114300" distR="114300" simplePos="0" relativeHeight="251660288" behindDoc="1" locked="0" layoutInCell="1" allowOverlap="1">
            <wp:simplePos x="0" y="0"/>
            <wp:positionH relativeFrom="column">
              <wp:posOffset>994547</wp:posOffset>
            </wp:positionH>
            <wp:positionV relativeFrom="paragraph">
              <wp:posOffset>-189882</wp:posOffset>
            </wp:positionV>
            <wp:extent cx="430251" cy="370702"/>
            <wp:effectExtent l="0" t="0" r="8255" b="0"/>
            <wp:wrapNone/>
            <wp:docPr id="574" name="Image 574" descr="C:\Users\mblin\AppData\Local\Microsoft\Windows\INetCache\Content.MSO\D2B582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blin\AppData\Local\Microsoft\Windows\INetCache\Content.MSO\D2B582AB.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251" cy="3707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75B4">
        <w:rPr>
          <w:b/>
          <w:sz w:val="24"/>
        </w:rPr>
        <w:t>Etapes indispensables lors d’une transfusion</w:t>
      </w:r>
    </w:p>
    <w:p w:rsidR="003031D9" w:rsidRPr="003575B4" w:rsidRDefault="003031D9" w:rsidP="003575B4">
      <w:pPr>
        <w:jc w:val="center"/>
        <w:rPr>
          <w:b/>
          <w:sz w:val="24"/>
        </w:rPr>
      </w:pPr>
    </w:p>
    <w:p w:rsidR="003031D9" w:rsidRPr="008A7DC8" w:rsidRDefault="003031D9" w:rsidP="003031D9">
      <w:pPr>
        <w:contextualSpacing/>
        <w:rPr>
          <w:rFonts w:ascii="Calibri" w:hAnsi="Calibri"/>
        </w:rPr>
      </w:pPr>
      <w:r w:rsidRPr="00AE1998">
        <w:rPr>
          <w:rFonts w:ascii="Calibri" w:hAnsi="Calibri"/>
          <w:b/>
          <w:i/>
          <w:sz w:val="24"/>
          <w:u w:val="single"/>
        </w:rPr>
        <w:t>Je préviens</w:t>
      </w:r>
      <w:r w:rsidRPr="00AE1998">
        <w:rPr>
          <w:rFonts w:ascii="Calibri" w:hAnsi="Calibri"/>
          <w:i/>
          <w:sz w:val="24"/>
          <w:u w:val="single"/>
        </w:rPr>
        <w:t xml:space="preserve"> </w:t>
      </w:r>
      <w:r w:rsidRPr="008A7DC8">
        <w:rPr>
          <w:rFonts w:eastAsiaTheme="minorEastAsia" w:cstheme="minorHAnsi"/>
          <w:szCs w:val="24"/>
          <w:lang w:eastAsia="fr-FR"/>
        </w:rPr>
        <w:t>le patient et l’informe des modalités de transfusion (procédure et fiches info patient)</w:t>
      </w:r>
    </w:p>
    <w:p w:rsidR="003031D9" w:rsidRPr="008A7DC8" w:rsidRDefault="003031D9" w:rsidP="003031D9">
      <w:pPr>
        <w:ind w:left="1560"/>
        <w:contextualSpacing/>
        <w:rPr>
          <w:rFonts w:ascii="Calibri" w:hAnsi="Calibri"/>
        </w:rPr>
      </w:pPr>
    </w:p>
    <w:p w:rsidR="003031D9" w:rsidRPr="008A7DC8" w:rsidRDefault="003031D9" w:rsidP="003031D9">
      <w:pPr>
        <w:contextualSpacing/>
        <w:rPr>
          <w:rFonts w:ascii="Calibri" w:hAnsi="Calibri"/>
        </w:rPr>
      </w:pPr>
      <w:r w:rsidRPr="00AE1998">
        <w:rPr>
          <w:rFonts w:ascii="Calibri" w:hAnsi="Calibri"/>
          <w:b/>
          <w:i/>
          <w:sz w:val="24"/>
          <w:u w:val="single"/>
        </w:rPr>
        <w:t>Je m’assure</w:t>
      </w:r>
      <w:r w:rsidRPr="00AE1998">
        <w:rPr>
          <w:rFonts w:cstheme="minorHAnsi"/>
          <w:sz w:val="20"/>
          <w:szCs w:val="24"/>
        </w:rPr>
        <w:t xml:space="preserve"> </w:t>
      </w:r>
      <w:r w:rsidRPr="008A7DC8">
        <w:rPr>
          <w:rFonts w:cstheme="minorHAnsi"/>
          <w:szCs w:val="24"/>
        </w:rPr>
        <w:t>qu’un médecin</w:t>
      </w:r>
      <w:r w:rsidRPr="008A7DC8">
        <w:rPr>
          <w:rFonts w:eastAsiaTheme="minorEastAsia" w:cstheme="minorHAnsi"/>
          <w:szCs w:val="24"/>
          <w:lang w:eastAsia="fr-FR"/>
        </w:rPr>
        <w:t xml:space="preserve"> peut intervenir à tout moment</w:t>
      </w:r>
    </w:p>
    <w:p w:rsidR="002D37B1" w:rsidRDefault="002D37B1" w:rsidP="003575B4">
      <w:pPr>
        <w:jc w:val="center"/>
        <w:rPr>
          <w:b/>
        </w:rPr>
      </w:pPr>
    </w:p>
    <w:p w:rsidR="002D37B1" w:rsidRPr="007966B9" w:rsidRDefault="002D37B1" w:rsidP="007966B9">
      <w:pPr>
        <w:pStyle w:val="Paragraphedeliste"/>
        <w:numPr>
          <w:ilvl w:val="0"/>
          <w:numId w:val="35"/>
        </w:numPr>
        <w:rPr>
          <w:b/>
          <w:color w:val="C00000"/>
          <w:sz w:val="32"/>
        </w:rPr>
      </w:pPr>
      <w:r w:rsidRPr="007966B9">
        <w:rPr>
          <w:b/>
          <w:color w:val="C00000"/>
          <w:sz w:val="28"/>
        </w:rPr>
        <w:t>C</w:t>
      </w:r>
      <w:r w:rsidR="007966B9" w:rsidRPr="007966B9">
        <w:rPr>
          <w:b/>
          <w:color w:val="C00000"/>
          <w:sz w:val="28"/>
        </w:rPr>
        <w:t>ontrôle à réception des PSL</w:t>
      </w:r>
    </w:p>
    <w:p w:rsidR="002D37B1" w:rsidRDefault="002D37B1" w:rsidP="002D37B1">
      <w:pPr>
        <w:ind w:left="720"/>
        <w:contextualSpacing/>
        <w:rPr>
          <w:rFonts w:ascii="Calibri" w:hAnsi="Calibri"/>
          <w:b/>
          <w:bCs/>
          <w:sz w:val="24"/>
          <w:szCs w:val="24"/>
        </w:rPr>
      </w:pPr>
      <w:r w:rsidRPr="002D37B1">
        <w:rPr>
          <w:rFonts w:ascii="Calibri" w:hAnsi="Calibri"/>
          <w:b/>
          <w:bCs/>
        </w:rPr>
        <w:t xml:space="preserve">              </w:t>
      </w:r>
      <w:r w:rsidRPr="00C32D89">
        <w:rPr>
          <w:rFonts w:ascii="Calibri" w:hAnsi="Calibri"/>
          <w:b/>
          <w:bCs/>
          <w:sz w:val="24"/>
          <w:szCs w:val="24"/>
        </w:rPr>
        <w:t xml:space="preserve">Informations relatives à la fiche de délivrance nominative (FDN) : </w:t>
      </w:r>
    </w:p>
    <w:p w:rsidR="00C32D89" w:rsidRPr="00C32D89" w:rsidRDefault="00C32D89" w:rsidP="002D37B1">
      <w:pPr>
        <w:ind w:left="720"/>
        <w:contextualSpacing/>
        <w:rPr>
          <w:rFonts w:ascii="Calibri" w:hAnsi="Calibri"/>
          <w:b/>
          <w:bCs/>
          <w:sz w:val="24"/>
          <w:szCs w:val="24"/>
        </w:rPr>
      </w:pPr>
    </w:p>
    <w:p w:rsidR="00FD1B8C" w:rsidRDefault="00FD1B8C" w:rsidP="00FD1B8C">
      <w:pPr>
        <w:contextualSpacing/>
        <w:rPr>
          <w:rFonts w:ascii="Arial" w:eastAsia="Times New Roman" w:hAnsi="Arial" w:cs="Arial"/>
          <w:lang w:eastAsia="fr-FR"/>
        </w:rPr>
      </w:pPr>
      <w:r w:rsidRPr="00FD1B8C">
        <w:rPr>
          <w:rFonts w:ascii="Arial" w:eastAsia="Times New Roman" w:hAnsi="Arial" w:cs="Arial"/>
          <w:lang w:eastAsia="fr-FR"/>
        </w:rPr>
        <w:t>La fiche de délivrance accompagne toute délivrance de PSL. Elle est émise par l'établissement de transfusion sanguine ou par le dépôt de sang, à partir de la prescripti</w:t>
      </w:r>
      <w:r>
        <w:rPr>
          <w:rFonts w:ascii="Arial" w:eastAsia="Times New Roman" w:hAnsi="Arial" w:cs="Arial"/>
          <w:lang w:eastAsia="fr-FR"/>
        </w:rPr>
        <w:t xml:space="preserve">on et des documents transmis. </w:t>
      </w:r>
    </w:p>
    <w:p w:rsidR="00FD1B8C" w:rsidRDefault="00FD1B8C" w:rsidP="00FD1B8C">
      <w:pPr>
        <w:contextualSpacing/>
        <w:rPr>
          <w:rFonts w:ascii="Arial" w:eastAsia="Times New Roman" w:hAnsi="Arial" w:cs="Arial"/>
          <w:lang w:eastAsia="fr-FR"/>
        </w:rPr>
      </w:pPr>
      <w:r w:rsidRPr="00FD1B8C">
        <w:rPr>
          <w:rFonts w:ascii="Arial" w:eastAsia="Times New Roman" w:hAnsi="Arial" w:cs="Arial"/>
          <w:lang w:eastAsia="fr-FR"/>
        </w:rPr>
        <w:t xml:space="preserve">Dans le cadre de </w:t>
      </w:r>
      <w:r>
        <w:rPr>
          <w:rFonts w:ascii="Arial" w:eastAsia="Times New Roman" w:hAnsi="Arial" w:cs="Arial"/>
          <w:lang w:eastAsia="fr-FR"/>
        </w:rPr>
        <w:t>l’activité relais d’un dépôt :</w:t>
      </w:r>
    </w:p>
    <w:p w:rsidR="00FD1B8C" w:rsidRDefault="00FD1B8C" w:rsidP="00FD1B8C">
      <w:pPr>
        <w:pStyle w:val="Paragraphedeliste"/>
        <w:numPr>
          <w:ilvl w:val="0"/>
          <w:numId w:val="34"/>
        </w:numPr>
        <w:rPr>
          <w:rFonts w:ascii="Arial" w:eastAsia="Times New Roman" w:hAnsi="Arial" w:cs="Arial"/>
          <w:lang w:eastAsia="fr-FR"/>
        </w:rPr>
      </w:pPr>
      <w:r w:rsidRPr="00FD1B8C">
        <w:rPr>
          <w:rFonts w:ascii="Arial" w:eastAsia="Times New Roman" w:hAnsi="Arial" w:cs="Arial"/>
          <w:lang w:eastAsia="fr-FR"/>
        </w:rPr>
        <w:t xml:space="preserve"> </w:t>
      </w:r>
      <w:proofErr w:type="gramStart"/>
      <w:r w:rsidRPr="00FD1B8C">
        <w:rPr>
          <w:rFonts w:ascii="Arial" w:eastAsia="Times New Roman" w:hAnsi="Arial" w:cs="Arial"/>
          <w:lang w:eastAsia="fr-FR"/>
        </w:rPr>
        <w:t>pour</w:t>
      </w:r>
      <w:proofErr w:type="gramEnd"/>
      <w:r w:rsidRPr="00FD1B8C">
        <w:rPr>
          <w:rFonts w:ascii="Arial" w:eastAsia="Times New Roman" w:hAnsi="Arial" w:cs="Arial"/>
          <w:lang w:eastAsia="fr-FR"/>
        </w:rPr>
        <w:t xml:space="preserve"> un transfert en plusieurs temps (remise fractionnée des PSL), une fiche de transfert complète la fiche de délivrance initiale. A défaut, la fiche de délivrance initiale est actualisée en y indiquant la date et heure de transfert du PSL vers le nouveau serv</w:t>
      </w:r>
      <w:r>
        <w:rPr>
          <w:rFonts w:ascii="Arial" w:eastAsia="Times New Roman" w:hAnsi="Arial" w:cs="Arial"/>
          <w:lang w:eastAsia="fr-FR"/>
        </w:rPr>
        <w:t>ice de soins prescripteur.</w:t>
      </w:r>
    </w:p>
    <w:p w:rsidR="00FD1B8C" w:rsidRDefault="00FD1B8C" w:rsidP="00FD1B8C">
      <w:pPr>
        <w:pStyle w:val="Paragraphedeliste"/>
        <w:numPr>
          <w:ilvl w:val="0"/>
          <w:numId w:val="34"/>
        </w:numPr>
        <w:rPr>
          <w:rFonts w:ascii="Arial" w:eastAsia="Times New Roman" w:hAnsi="Arial" w:cs="Arial"/>
          <w:lang w:eastAsia="fr-FR"/>
        </w:rPr>
      </w:pPr>
      <w:proofErr w:type="gramStart"/>
      <w:r w:rsidRPr="00FD1B8C">
        <w:rPr>
          <w:rFonts w:ascii="Arial" w:eastAsia="Times New Roman" w:hAnsi="Arial" w:cs="Arial"/>
          <w:lang w:eastAsia="fr-FR"/>
        </w:rPr>
        <w:t>dans</w:t>
      </w:r>
      <w:proofErr w:type="gramEnd"/>
      <w:r w:rsidRPr="00FD1B8C">
        <w:rPr>
          <w:rFonts w:ascii="Arial" w:eastAsia="Times New Roman" w:hAnsi="Arial" w:cs="Arial"/>
          <w:lang w:eastAsia="fr-FR"/>
        </w:rPr>
        <w:t xml:space="preserve"> le cadre d’une seconde délivrance (réattribution à un autre patient que le patient prévu initialement) l’ETS édite une nouvelle fiche de délivrance à l’</w:t>
      </w:r>
      <w:r>
        <w:rPr>
          <w:rFonts w:ascii="Arial" w:eastAsia="Times New Roman" w:hAnsi="Arial" w:cs="Arial"/>
          <w:lang w:eastAsia="fr-FR"/>
        </w:rPr>
        <w:t xml:space="preserve">identité du deuxième patient. </w:t>
      </w:r>
    </w:p>
    <w:p w:rsidR="00FD1B8C" w:rsidRDefault="00FD1B8C" w:rsidP="00FD1B8C">
      <w:pPr>
        <w:rPr>
          <w:rFonts w:ascii="Arial" w:eastAsia="Times New Roman" w:hAnsi="Arial" w:cs="Arial"/>
          <w:lang w:eastAsia="fr-FR"/>
        </w:rPr>
      </w:pPr>
      <w:r w:rsidRPr="00FD1B8C">
        <w:rPr>
          <w:rFonts w:ascii="Arial" w:eastAsia="Times New Roman" w:hAnsi="Arial" w:cs="Arial"/>
          <w:lang w:eastAsia="fr-FR"/>
        </w:rPr>
        <w:t xml:space="preserve">La fiche de délivrance regroupe l’association systématique de l'identité du patient et de l’identification des produits sanguins labiles attribués à ce patient ainsi que les caractéristiques </w:t>
      </w:r>
      <w:proofErr w:type="spellStart"/>
      <w:r w:rsidRPr="00FD1B8C">
        <w:rPr>
          <w:rFonts w:ascii="Arial" w:eastAsia="Times New Roman" w:hAnsi="Arial" w:cs="Arial"/>
          <w:lang w:eastAsia="fr-FR"/>
        </w:rPr>
        <w:t>immuno</w:t>
      </w:r>
      <w:proofErr w:type="spellEnd"/>
      <w:r w:rsidRPr="00FD1B8C">
        <w:rPr>
          <w:rFonts w:ascii="Arial" w:eastAsia="Times New Roman" w:hAnsi="Arial" w:cs="Arial"/>
          <w:lang w:eastAsia="fr-FR"/>
        </w:rPr>
        <w:t xml:space="preserve">-hématologiques du patient, le cas échéant. Elle constitue un élément fondamental de la sécurité </w:t>
      </w:r>
      <w:r>
        <w:rPr>
          <w:rFonts w:ascii="Arial" w:eastAsia="Times New Roman" w:hAnsi="Arial" w:cs="Arial"/>
          <w:lang w:eastAsia="fr-FR"/>
        </w:rPr>
        <w:t xml:space="preserve">transfusionnelle. </w:t>
      </w:r>
    </w:p>
    <w:p w:rsidR="002D37B1" w:rsidRPr="00FD1B8C" w:rsidRDefault="00FD1B8C" w:rsidP="00FD1B8C">
      <w:pPr>
        <w:rPr>
          <w:rFonts w:ascii="Arial" w:eastAsia="Times New Roman" w:hAnsi="Arial" w:cs="Arial"/>
          <w:lang w:eastAsia="fr-FR"/>
        </w:rPr>
      </w:pPr>
      <w:r w:rsidRPr="00FD1B8C">
        <w:rPr>
          <w:rFonts w:ascii="Arial" w:eastAsia="Times New Roman" w:hAnsi="Arial" w:cs="Arial"/>
          <w:lang w:eastAsia="fr-FR"/>
        </w:rPr>
        <w:t>Un exemplaire de la fiche de délivrance mentionnant les informations telles que définies dans la décision de l’ANSM relative aux bonnes pratiques transfusionnelles est conservé à l’ETS ou au dépôt de sang, ainsi que dans l’établissement de santé réalisant la transfusion</w:t>
      </w:r>
    </w:p>
    <w:p w:rsidR="002D37B1" w:rsidRPr="002D37B1" w:rsidRDefault="002D37B1" w:rsidP="002D37B1">
      <w:pPr>
        <w:contextualSpacing/>
        <w:rPr>
          <w:rFonts w:ascii="Calibri" w:hAnsi="Calibri"/>
          <w:b/>
          <w:i/>
          <w:sz w:val="24"/>
          <w:u w:val="single"/>
        </w:rPr>
      </w:pPr>
    </w:p>
    <w:p w:rsidR="002D37B1" w:rsidRPr="00FD1B8C" w:rsidRDefault="002D37B1" w:rsidP="002D37B1">
      <w:pPr>
        <w:contextualSpacing/>
        <w:rPr>
          <w:rFonts w:ascii="Calibri" w:hAnsi="Calibri"/>
          <w:b/>
          <w:i/>
          <w:sz w:val="24"/>
          <w:u w:val="single"/>
        </w:rPr>
      </w:pPr>
      <w:r w:rsidRPr="00FD1B8C">
        <w:rPr>
          <w:rFonts w:ascii="Calibri" w:hAnsi="Calibri"/>
          <w:b/>
          <w:i/>
          <w:sz w:val="24"/>
          <w:u w:val="single"/>
        </w:rPr>
        <w:t>Je vérifie : destination du colis, conformité de la livraison et conformité des produits livrés :</w:t>
      </w:r>
    </w:p>
    <w:p w:rsidR="002D37B1" w:rsidRPr="00FD1B8C" w:rsidRDefault="002D37B1" w:rsidP="002D37B1">
      <w:pPr>
        <w:ind w:left="1560"/>
        <w:contextualSpacing/>
        <w:rPr>
          <w:rFonts w:ascii="Calibri" w:hAnsi="Calibri"/>
          <w:i/>
          <w:color w:val="7030A0"/>
          <w:sz w:val="28"/>
          <w:u w:val="single"/>
        </w:rPr>
      </w:pPr>
    </w:p>
    <w:p w:rsidR="002D37B1" w:rsidRPr="00FD1B8C" w:rsidRDefault="002D37B1" w:rsidP="002D37B1">
      <w:pPr>
        <w:numPr>
          <w:ilvl w:val="0"/>
          <w:numId w:val="26"/>
        </w:numPr>
        <w:spacing w:after="0" w:line="240" w:lineRule="auto"/>
        <w:ind w:left="426" w:hanging="426"/>
        <w:contextualSpacing/>
        <w:jc w:val="both"/>
        <w:rPr>
          <w:rFonts w:cs="Arial"/>
        </w:rPr>
      </w:pPr>
      <w:r w:rsidRPr="00FD1B8C">
        <w:rPr>
          <w:rFonts w:cs="Arial"/>
          <w:b/>
        </w:rPr>
        <w:t>La vérification de la « destination du colis »</w:t>
      </w:r>
      <w:r w:rsidRPr="00FD1B8C">
        <w:rPr>
          <w:rFonts w:cs="Arial"/>
        </w:rPr>
        <w:t xml:space="preserve"> est réalisée en contrôlant l’identification du destinataire (établissement de santé, dépôt de sang, service de soins, établissement de transfusion sanguine exerçant des activités de soins, etc.) et de l'expéditeur.</w:t>
      </w:r>
    </w:p>
    <w:p w:rsidR="002D37B1" w:rsidRPr="00FD1B8C" w:rsidRDefault="002D37B1" w:rsidP="002D37B1"/>
    <w:p w:rsidR="002D37B1" w:rsidRPr="00FD1B8C" w:rsidRDefault="002D37B1" w:rsidP="002D37B1">
      <w:pPr>
        <w:numPr>
          <w:ilvl w:val="0"/>
          <w:numId w:val="26"/>
        </w:numPr>
        <w:spacing w:after="0" w:line="240" w:lineRule="auto"/>
        <w:ind w:left="426"/>
        <w:contextualSpacing/>
        <w:jc w:val="both"/>
        <w:rPr>
          <w:rFonts w:cs="Arial"/>
        </w:rPr>
      </w:pPr>
      <w:r w:rsidRPr="00FD1B8C">
        <w:rPr>
          <w:rFonts w:cs="Arial"/>
          <w:b/>
        </w:rPr>
        <w:t xml:space="preserve">La vérification de la conformité de la livraison ou "vérification du colis" </w:t>
      </w:r>
      <w:r w:rsidRPr="00FD1B8C">
        <w:rPr>
          <w:rFonts w:cs="Arial"/>
        </w:rPr>
        <w:t xml:space="preserve">est réalisée à l'aide du bordereau d’expédition ou de la fiche de transport. </w:t>
      </w:r>
    </w:p>
    <w:p w:rsidR="002D37B1" w:rsidRPr="00FD1B8C" w:rsidRDefault="002D37B1" w:rsidP="002D37B1">
      <w:pPr>
        <w:ind w:left="426"/>
        <w:rPr>
          <w:rFonts w:cs="Arial"/>
        </w:rPr>
      </w:pPr>
      <w:r w:rsidRPr="00FD1B8C">
        <w:t xml:space="preserve">Cette vérification est faite selon les normes définies dans la décision de l’ANSM relative aux bonnes pratiques transfusionnelles (ligne directrice sur le stockage, le transport et la </w:t>
      </w:r>
      <w:r w:rsidRPr="00FD1B8C">
        <w:rPr>
          <w:rFonts w:cs="Arial"/>
        </w:rPr>
        <w:t>conservation des prélèvements, des tubes échantillons et des PSL) et concerne :</w:t>
      </w:r>
    </w:p>
    <w:p w:rsidR="002D37B1" w:rsidRPr="00FD1B8C" w:rsidRDefault="002D37B1" w:rsidP="002D37B1">
      <w:pPr>
        <w:numPr>
          <w:ilvl w:val="0"/>
          <w:numId w:val="27"/>
        </w:numPr>
        <w:spacing w:after="0" w:line="240" w:lineRule="auto"/>
        <w:contextualSpacing/>
        <w:jc w:val="both"/>
        <w:rPr>
          <w:rFonts w:cs="Arial"/>
        </w:rPr>
      </w:pPr>
      <w:proofErr w:type="gramStart"/>
      <w:r w:rsidRPr="00FD1B8C">
        <w:rPr>
          <w:rFonts w:cs="Arial"/>
        </w:rPr>
        <w:t>l’intégrité</w:t>
      </w:r>
      <w:proofErr w:type="gramEnd"/>
      <w:r w:rsidRPr="00FD1B8C">
        <w:rPr>
          <w:rFonts w:cs="Arial"/>
        </w:rPr>
        <w:t xml:space="preserve"> et le nombre des colis ; </w:t>
      </w:r>
    </w:p>
    <w:p w:rsidR="002D37B1" w:rsidRPr="00FD1B8C" w:rsidRDefault="002D37B1" w:rsidP="002D37B1">
      <w:pPr>
        <w:numPr>
          <w:ilvl w:val="0"/>
          <w:numId w:val="27"/>
        </w:numPr>
        <w:spacing w:after="0" w:line="240" w:lineRule="auto"/>
        <w:contextualSpacing/>
        <w:jc w:val="both"/>
        <w:rPr>
          <w:rFonts w:cs="Arial"/>
        </w:rPr>
      </w:pPr>
      <w:proofErr w:type="gramStart"/>
      <w:r w:rsidRPr="00FD1B8C">
        <w:rPr>
          <w:rFonts w:cs="Arial"/>
        </w:rPr>
        <w:t>le</w:t>
      </w:r>
      <w:proofErr w:type="gramEnd"/>
      <w:r w:rsidRPr="00FD1B8C">
        <w:rPr>
          <w:rFonts w:cs="Arial"/>
        </w:rPr>
        <w:t xml:space="preserve"> respect des conditions d’hygiène des colis ; </w:t>
      </w:r>
    </w:p>
    <w:p w:rsidR="002D37B1" w:rsidRPr="00FD1B8C" w:rsidRDefault="002D37B1" w:rsidP="002D37B1">
      <w:pPr>
        <w:numPr>
          <w:ilvl w:val="0"/>
          <w:numId w:val="27"/>
        </w:numPr>
        <w:spacing w:after="0" w:line="240" w:lineRule="auto"/>
        <w:contextualSpacing/>
        <w:jc w:val="both"/>
        <w:rPr>
          <w:rFonts w:cs="Arial"/>
        </w:rPr>
      </w:pPr>
      <w:proofErr w:type="gramStart"/>
      <w:r w:rsidRPr="00FD1B8C">
        <w:rPr>
          <w:rFonts w:cs="Arial"/>
        </w:rPr>
        <w:t>le</w:t>
      </w:r>
      <w:proofErr w:type="gramEnd"/>
      <w:r w:rsidRPr="00FD1B8C">
        <w:rPr>
          <w:rFonts w:cs="Arial"/>
        </w:rPr>
        <w:t xml:space="preserve"> respect des conditions de température de transport ;</w:t>
      </w:r>
    </w:p>
    <w:p w:rsidR="002D37B1" w:rsidRPr="00FD1B8C" w:rsidRDefault="002D37B1" w:rsidP="002D37B1">
      <w:pPr>
        <w:numPr>
          <w:ilvl w:val="0"/>
          <w:numId w:val="27"/>
        </w:numPr>
        <w:spacing w:after="0" w:line="240" w:lineRule="auto"/>
        <w:contextualSpacing/>
        <w:jc w:val="both"/>
        <w:rPr>
          <w:rFonts w:cs="Arial"/>
        </w:rPr>
      </w:pPr>
      <w:proofErr w:type="gramStart"/>
      <w:r w:rsidRPr="00FD1B8C">
        <w:rPr>
          <w:rFonts w:cs="Arial"/>
        </w:rPr>
        <w:t>le</w:t>
      </w:r>
      <w:proofErr w:type="gramEnd"/>
      <w:r w:rsidRPr="00FD1B8C">
        <w:rPr>
          <w:rFonts w:cs="Arial"/>
        </w:rPr>
        <w:t xml:space="preserve"> respect de la durée de transport.</w:t>
      </w:r>
    </w:p>
    <w:p w:rsidR="002D37B1" w:rsidRPr="00FD1B8C" w:rsidRDefault="002D37B1" w:rsidP="002D37B1">
      <w:pPr>
        <w:ind w:left="426"/>
      </w:pPr>
      <w:r w:rsidRPr="00FD1B8C">
        <w:rPr>
          <w:rFonts w:cs="Arial"/>
        </w:rPr>
        <w:t xml:space="preserve">La personne chargée de cette vérification prend en charge, sans délai, l'acheminement du ou des colis vers le ou les services de soins si la livraison n’est pas directe. </w:t>
      </w:r>
    </w:p>
    <w:p w:rsidR="002D37B1" w:rsidRPr="00FD1B8C" w:rsidRDefault="002D37B1" w:rsidP="002D37B1"/>
    <w:p w:rsidR="002D37B1" w:rsidRPr="00FD1B8C" w:rsidRDefault="002D37B1" w:rsidP="002D37B1">
      <w:pPr>
        <w:numPr>
          <w:ilvl w:val="0"/>
          <w:numId w:val="26"/>
        </w:numPr>
        <w:spacing w:after="0" w:line="240" w:lineRule="auto"/>
        <w:ind w:left="426"/>
        <w:contextualSpacing/>
        <w:jc w:val="both"/>
        <w:rPr>
          <w:rFonts w:cs="Arial"/>
        </w:rPr>
      </w:pPr>
      <w:r w:rsidRPr="00FD1B8C">
        <w:rPr>
          <w:rFonts w:cs="Arial"/>
          <w:b/>
        </w:rPr>
        <w:t>La vérification de la conformité des produits livrés</w:t>
      </w:r>
      <w:r w:rsidRPr="00FD1B8C">
        <w:rPr>
          <w:rFonts w:cs="Arial"/>
        </w:rPr>
        <w:t xml:space="preserve"> </w:t>
      </w:r>
      <w:r w:rsidRPr="00FD1B8C">
        <w:rPr>
          <w:rFonts w:cs="Arial"/>
          <w:b/>
        </w:rPr>
        <w:t>est</w:t>
      </w:r>
      <w:r w:rsidRPr="00FD1B8C">
        <w:rPr>
          <w:rFonts w:cs="Arial"/>
        </w:rPr>
        <w:t xml:space="preserve"> </w:t>
      </w:r>
      <w:r w:rsidRPr="00FD1B8C">
        <w:rPr>
          <w:rFonts w:cs="Arial"/>
          <w:b/>
        </w:rPr>
        <w:t>réalisée par un professionnel de santé habilité (IDE, sage-femme, médecin) selon la procédure de l’établissement</w:t>
      </w:r>
      <w:r w:rsidRPr="00FD1B8C">
        <w:rPr>
          <w:rFonts w:cs="Arial"/>
        </w:rPr>
        <w:t>. Elle se fait en même temps que les deux autres volets de vérification si la livraison est effectuée directement dans le service de soins. La date et l’heure de réception dans le service de soins sont tracées.</w:t>
      </w:r>
    </w:p>
    <w:p w:rsidR="002D37B1" w:rsidRPr="00FD1B8C" w:rsidRDefault="002D37B1" w:rsidP="002D37B1">
      <w:pPr>
        <w:ind w:left="426"/>
        <w:contextualSpacing/>
        <w:rPr>
          <w:rFonts w:cs="Arial"/>
        </w:rPr>
      </w:pPr>
      <w:r w:rsidRPr="00FD1B8C">
        <w:rPr>
          <w:rFonts w:cs="Arial"/>
        </w:rPr>
        <w:t xml:space="preserve">Cette vérification permet de contrôler : </w:t>
      </w:r>
    </w:p>
    <w:p w:rsidR="002D37B1" w:rsidRPr="00FD1B8C" w:rsidRDefault="002D37B1" w:rsidP="002D37B1">
      <w:pPr>
        <w:numPr>
          <w:ilvl w:val="0"/>
          <w:numId w:val="28"/>
        </w:numPr>
        <w:spacing w:after="0" w:line="240" w:lineRule="auto"/>
        <w:ind w:left="709" w:hanging="283"/>
        <w:contextualSpacing/>
        <w:jc w:val="both"/>
      </w:pPr>
      <w:proofErr w:type="gramStart"/>
      <w:r w:rsidRPr="00FD1B8C">
        <w:t>le</w:t>
      </w:r>
      <w:proofErr w:type="gramEnd"/>
      <w:r w:rsidRPr="00FD1B8C">
        <w:t xml:space="preserve"> nombre, la nature des produits sanguins labiles et leur concordance avec la prescription en portant une attention particulière aux phénotypes érythrocytaires, aux qualifications et aux transformations des produits (ex : irradié, </w:t>
      </w:r>
      <w:proofErr w:type="spellStart"/>
      <w:r w:rsidRPr="00FD1B8C">
        <w:t>compatibilisé</w:t>
      </w:r>
      <w:proofErr w:type="spellEnd"/>
      <w:r w:rsidRPr="00FD1B8C">
        <w:t xml:space="preserve">, autologue …), </w:t>
      </w:r>
    </w:p>
    <w:p w:rsidR="002D37B1" w:rsidRPr="00FD1B8C" w:rsidRDefault="002D37B1" w:rsidP="002D37B1">
      <w:pPr>
        <w:numPr>
          <w:ilvl w:val="0"/>
          <w:numId w:val="28"/>
        </w:numPr>
        <w:spacing w:after="0" w:line="240" w:lineRule="auto"/>
        <w:ind w:left="709" w:hanging="283"/>
        <w:contextualSpacing/>
        <w:jc w:val="both"/>
      </w:pPr>
      <w:proofErr w:type="gramStart"/>
      <w:r w:rsidRPr="00FD1B8C">
        <w:t>l'aspect</w:t>
      </w:r>
      <w:proofErr w:type="gramEnd"/>
      <w:r w:rsidRPr="00FD1B8C">
        <w:t xml:space="preserve"> et l'intégrité des poches et des PSL, ainsi que la date de péremption (voire l’heure de péremption),</w:t>
      </w:r>
    </w:p>
    <w:p w:rsidR="002D37B1" w:rsidRPr="00FD1B8C" w:rsidRDefault="002D37B1" w:rsidP="002D37B1">
      <w:pPr>
        <w:numPr>
          <w:ilvl w:val="0"/>
          <w:numId w:val="28"/>
        </w:numPr>
        <w:spacing w:after="0" w:line="240" w:lineRule="auto"/>
        <w:ind w:left="709" w:hanging="283"/>
        <w:contextualSpacing/>
        <w:jc w:val="both"/>
      </w:pPr>
      <w:proofErr w:type="gramStart"/>
      <w:r w:rsidRPr="00FD1B8C">
        <w:t>la</w:t>
      </w:r>
      <w:proofErr w:type="gramEnd"/>
      <w:r w:rsidRPr="00FD1B8C">
        <w:t xml:space="preserve"> concordance entre l'identité du patient figurant sur la fiche de délivrance accompagnant les PSL et celle figurant sur la prescription. </w:t>
      </w:r>
    </w:p>
    <w:p w:rsidR="002D37B1" w:rsidRPr="00FD1B8C" w:rsidRDefault="002D37B1" w:rsidP="002D37B1">
      <w:pPr>
        <w:ind w:left="1560"/>
        <w:contextualSpacing/>
        <w:rPr>
          <w:rFonts w:ascii="Calibri" w:hAnsi="Calibri"/>
          <w:i/>
          <w:color w:val="7030A0"/>
          <w:sz w:val="28"/>
          <w:u w:val="single"/>
        </w:rPr>
      </w:pPr>
    </w:p>
    <w:p w:rsidR="002D37B1" w:rsidRPr="00FD1B8C" w:rsidRDefault="002D37B1" w:rsidP="002D37B1">
      <w:pPr>
        <w:spacing w:line="276" w:lineRule="auto"/>
        <w:ind w:left="709"/>
        <w:contextualSpacing/>
        <w:rPr>
          <w:rFonts w:eastAsiaTheme="minorEastAsia" w:cstheme="minorHAnsi"/>
          <w:szCs w:val="24"/>
          <w:lang w:eastAsia="fr-FR"/>
        </w:rPr>
      </w:pPr>
    </w:p>
    <w:p w:rsidR="002D37B1" w:rsidRPr="00FD1B8C" w:rsidRDefault="002D37B1" w:rsidP="002D37B1">
      <w:pPr>
        <w:numPr>
          <w:ilvl w:val="0"/>
          <w:numId w:val="16"/>
        </w:numPr>
        <w:spacing w:line="276" w:lineRule="auto"/>
        <w:ind w:left="709"/>
        <w:contextualSpacing/>
        <w:rPr>
          <w:rFonts w:eastAsiaTheme="minorEastAsia" w:cstheme="minorHAnsi"/>
          <w:szCs w:val="24"/>
          <w:lang w:eastAsia="fr-FR"/>
        </w:rPr>
      </w:pPr>
      <w:r w:rsidRPr="00FD1B8C">
        <w:rPr>
          <w:rFonts w:cstheme="minorHAnsi"/>
          <w:b/>
          <w:szCs w:val="24"/>
        </w:rPr>
        <w:t>Je respecte le délai de 6 heures (heure d’arrivée dans le service)</w:t>
      </w:r>
      <w:r w:rsidRPr="00FD1B8C">
        <w:rPr>
          <w:rFonts w:cstheme="minorHAnsi"/>
          <w:szCs w:val="24"/>
        </w:rPr>
        <w:t xml:space="preserve"> </w:t>
      </w:r>
      <w:r w:rsidRPr="00FD1B8C">
        <w:rPr>
          <w:rFonts w:cstheme="minorHAnsi"/>
          <w:b/>
          <w:szCs w:val="24"/>
        </w:rPr>
        <w:t>pour effectuer la transfusion des CGR, le plus rapidement possible pour le plasma et les plaquettes.</w:t>
      </w:r>
    </w:p>
    <w:p w:rsidR="002D37B1" w:rsidRPr="00FD1B8C" w:rsidRDefault="002D37B1" w:rsidP="002D37B1">
      <w:pPr>
        <w:ind w:left="720"/>
        <w:contextualSpacing/>
        <w:rPr>
          <w:rFonts w:eastAsiaTheme="minorEastAsia" w:cstheme="minorHAnsi"/>
          <w:szCs w:val="24"/>
          <w:lang w:eastAsia="fr-FR"/>
        </w:rPr>
      </w:pPr>
    </w:p>
    <w:p w:rsidR="002D37B1" w:rsidRPr="00FD1B8C" w:rsidRDefault="002D37B1" w:rsidP="002D37B1">
      <w:pPr>
        <w:ind w:left="720"/>
        <w:contextualSpacing/>
        <w:rPr>
          <w:rFonts w:eastAsiaTheme="minorEastAsia" w:cstheme="minorHAnsi"/>
          <w:szCs w:val="24"/>
          <w:lang w:eastAsia="fr-FR"/>
        </w:rPr>
      </w:pPr>
    </w:p>
    <w:p w:rsidR="002D37B1" w:rsidRDefault="002D37B1" w:rsidP="002D37B1">
      <w:pPr>
        <w:spacing w:after="0" w:line="240" w:lineRule="auto"/>
        <w:jc w:val="both"/>
        <w:rPr>
          <w:rFonts w:ascii="Arial" w:eastAsia="Times New Roman" w:hAnsi="Arial" w:cs="Arial"/>
          <w:b/>
          <w:lang w:eastAsia="fr-FR"/>
        </w:rPr>
      </w:pPr>
      <w:r w:rsidRPr="00FD1B8C">
        <w:rPr>
          <w:rFonts w:ascii="Arial" w:eastAsia="Times New Roman" w:hAnsi="Arial" w:cs="Arial"/>
          <w:b/>
          <w:lang w:eastAsia="fr-FR"/>
        </w:rPr>
        <w:t>Chacun de ces contrôles doit faire l'objet d'une formalisation sur un support prévu à cet effet</w:t>
      </w:r>
    </w:p>
    <w:p w:rsidR="00FD1B8C" w:rsidRPr="00FD1B8C" w:rsidRDefault="00FD1B8C" w:rsidP="002D37B1">
      <w:pPr>
        <w:spacing w:after="0" w:line="240" w:lineRule="auto"/>
        <w:jc w:val="both"/>
        <w:rPr>
          <w:rFonts w:ascii="Arial" w:eastAsiaTheme="minorEastAsia" w:hAnsi="Arial" w:cstheme="minorHAnsi"/>
          <w:sz w:val="18"/>
          <w:szCs w:val="24"/>
          <w:lang w:eastAsia="fr-FR"/>
        </w:rPr>
      </w:pPr>
    </w:p>
    <w:p w:rsidR="002D37B1" w:rsidRPr="002D37B1" w:rsidRDefault="002D37B1" w:rsidP="002D37B1">
      <w:pPr>
        <w:keepNext/>
        <w:spacing w:after="0" w:line="240" w:lineRule="auto"/>
        <w:jc w:val="both"/>
        <w:outlineLvl w:val="1"/>
        <w:rPr>
          <w:rFonts w:ascii="Arial" w:eastAsia="Times New Roman" w:hAnsi="Arial" w:cs="Arial"/>
          <w:b/>
          <w:highlight w:val="yellow"/>
          <w:lang w:eastAsia="fr-FR"/>
        </w:rPr>
      </w:pPr>
      <w:r w:rsidRPr="00FD1B8C">
        <w:rPr>
          <w:rFonts w:ascii="Arial" w:eastAsia="Times New Roman" w:hAnsi="Arial" w:cs="Arial"/>
          <w:b/>
          <w:lang w:eastAsia="fr-FR"/>
        </w:rPr>
        <w:t>Toute discordance ou anomalie, lors de ces contrôles à réception, impose un contact avec la structure de délivrance dont les coordonnées doivent être connues de chaque service de soins.</w:t>
      </w:r>
    </w:p>
    <w:p w:rsidR="002D37B1" w:rsidRPr="002D37B1" w:rsidRDefault="002D37B1" w:rsidP="002D37B1">
      <w:pPr>
        <w:spacing w:line="276" w:lineRule="auto"/>
        <w:rPr>
          <w:rFonts w:eastAsiaTheme="minorEastAsia" w:cstheme="minorHAnsi"/>
          <w:szCs w:val="24"/>
          <w:lang w:eastAsia="fr-FR"/>
        </w:rPr>
      </w:pPr>
    </w:p>
    <w:p w:rsidR="002D37B1" w:rsidRPr="002D37B1" w:rsidRDefault="002D37B1" w:rsidP="002D37B1">
      <w:pPr>
        <w:spacing w:line="276" w:lineRule="auto"/>
        <w:rPr>
          <w:rFonts w:eastAsiaTheme="minorEastAsia" w:cstheme="minorHAnsi"/>
          <w:szCs w:val="24"/>
          <w:lang w:eastAsia="fr-FR"/>
        </w:rPr>
      </w:pPr>
    </w:p>
    <w:p w:rsidR="002D37B1" w:rsidRPr="007966B9" w:rsidRDefault="007966B9" w:rsidP="007966B9">
      <w:pPr>
        <w:pStyle w:val="Paragraphedeliste"/>
        <w:numPr>
          <w:ilvl w:val="0"/>
          <w:numId w:val="35"/>
        </w:numPr>
        <w:spacing w:line="276" w:lineRule="auto"/>
        <w:rPr>
          <w:rFonts w:eastAsiaTheme="minorEastAsia" w:cstheme="minorHAnsi"/>
          <w:b/>
          <w:i/>
          <w:color w:val="C00000"/>
          <w:sz w:val="28"/>
          <w:szCs w:val="28"/>
          <w:lang w:eastAsia="fr-FR"/>
        </w:rPr>
      </w:pPr>
      <w:r w:rsidRPr="007966B9">
        <w:rPr>
          <w:rFonts w:eastAsiaTheme="minorEastAsia" w:cstheme="minorHAnsi"/>
          <w:b/>
          <w:i/>
          <w:color w:val="C00000"/>
          <w:sz w:val="28"/>
          <w:szCs w:val="28"/>
          <w:lang w:eastAsia="fr-FR"/>
        </w:rPr>
        <w:t>Contrôle ultime pré-transfusionnel</w:t>
      </w:r>
    </w:p>
    <w:p w:rsidR="00C32D89" w:rsidRDefault="00C32D89" w:rsidP="002D37B1">
      <w:pPr>
        <w:spacing w:line="276" w:lineRule="auto"/>
        <w:jc w:val="center"/>
        <w:rPr>
          <w:rFonts w:eastAsiaTheme="minorEastAsia" w:cstheme="minorHAnsi"/>
          <w:i/>
          <w:color w:val="0070C0"/>
          <w:sz w:val="32"/>
          <w:szCs w:val="24"/>
          <w:u w:val="single"/>
          <w:lang w:eastAsia="fr-FR"/>
        </w:rPr>
      </w:pPr>
    </w:p>
    <w:p w:rsidR="002D37B1" w:rsidRPr="002D37B1" w:rsidRDefault="002D37B1" w:rsidP="002D37B1">
      <w:pPr>
        <w:spacing w:line="276" w:lineRule="auto"/>
        <w:jc w:val="center"/>
        <w:rPr>
          <w:rFonts w:eastAsiaTheme="minorEastAsia" w:cstheme="minorHAnsi"/>
          <w:i/>
          <w:color w:val="0070C0"/>
          <w:sz w:val="32"/>
          <w:szCs w:val="24"/>
          <w:u w:val="single"/>
          <w:lang w:eastAsia="fr-FR"/>
        </w:rPr>
      </w:pPr>
      <w:r w:rsidRPr="002D37B1">
        <w:rPr>
          <w:rFonts w:eastAsiaTheme="minorEastAsia" w:cstheme="minorHAnsi"/>
          <w:i/>
          <w:color w:val="0070C0"/>
          <w:sz w:val="32"/>
          <w:szCs w:val="24"/>
          <w:u w:val="single"/>
          <w:lang w:eastAsia="fr-FR"/>
        </w:rPr>
        <w:t>AU LIT DU PATIENT ET IMPERATIVEMENT PAR LA MEME PERSONNE</w:t>
      </w:r>
    </w:p>
    <w:p w:rsidR="002D37B1" w:rsidRPr="002D37B1" w:rsidRDefault="002D37B1" w:rsidP="002D37B1">
      <w:pPr>
        <w:ind w:left="720"/>
        <w:contextualSpacing/>
        <w:rPr>
          <w:rFonts w:eastAsiaTheme="minorEastAsia" w:cstheme="minorHAnsi"/>
          <w:szCs w:val="24"/>
          <w:lang w:eastAsia="fr-FR"/>
        </w:rPr>
      </w:pPr>
    </w:p>
    <w:p w:rsidR="002D37B1" w:rsidRPr="002D37B1" w:rsidRDefault="002D37B1" w:rsidP="002D37B1">
      <w:pPr>
        <w:numPr>
          <w:ilvl w:val="0"/>
          <w:numId w:val="17"/>
        </w:numPr>
        <w:spacing w:line="276" w:lineRule="auto"/>
        <w:ind w:left="709"/>
        <w:contextualSpacing/>
        <w:rPr>
          <w:rFonts w:eastAsiaTheme="minorEastAsia" w:cstheme="minorHAnsi"/>
          <w:szCs w:val="24"/>
          <w:lang w:eastAsia="fr-FR"/>
        </w:rPr>
      </w:pPr>
      <w:r w:rsidRPr="002D37B1">
        <w:rPr>
          <w:rFonts w:cstheme="minorHAnsi"/>
          <w:color w:val="FF0000"/>
          <w:szCs w:val="24"/>
          <w:u w:val="single"/>
        </w:rPr>
        <w:t>Demander au patient (s’il est conscient) de rappeler son identité sous la forme d’une question ouverte. S’il est inconscient, vérifier le bracelet d’identification</w:t>
      </w:r>
    </w:p>
    <w:p w:rsidR="002D37B1" w:rsidRDefault="002D37B1" w:rsidP="002D37B1">
      <w:pPr>
        <w:spacing w:line="276" w:lineRule="auto"/>
        <w:ind w:left="1068"/>
        <w:contextualSpacing/>
        <w:rPr>
          <w:rFonts w:ascii="Arial" w:hAnsi="Arial" w:cs="Arial"/>
          <w:color w:val="FF0000"/>
          <w:sz w:val="28"/>
          <w:szCs w:val="24"/>
          <w:u w:val="single"/>
        </w:rPr>
      </w:pPr>
    </w:p>
    <w:p w:rsidR="007966B9" w:rsidRDefault="007966B9" w:rsidP="002D37B1">
      <w:pPr>
        <w:spacing w:line="276" w:lineRule="auto"/>
        <w:ind w:left="1068"/>
        <w:contextualSpacing/>
        <w:rPr>
          <w:rFonts w:ascii="Arial" w:hAnsi="Arial" w:cs="Arial"/>
          <w:color w:val="FF0000"/>
          <w:sz w:val="28"/>
          <w:szCs w:val="24"/>
          <w:u w:val="single"/>
        </w:rPr>
      </w:pPr>
    </w:p>
    <w:p w:rsidR="003031D9" w:rsidRDefault="003031D9" w:rsidP="002D37B1">
      <w:pPr>
        <w:spacing w:line="276" w:lineRule="auto"/>
        <w:ind w:left="1068"/>
        <w:contextualSpacing/>
        <w:rPr>
          <w:rFonts w:ascii="Arial" w:hAnsi="Arial" w:cs="Arial"/>
          <w:color w:val="FF0000"/>
          <w:sz w:val="28"/>
          <w:szCs w:val="24"/>
          <w:u w:val="single"/>
        </w:rPr>
      </w:pPr>
    </w:p>
    <w:p w:rsidR="003031D9" w:rsidRPr="002D37B1" w:rsidRDefault="003031D9" w:rsidP="002D37B1">
      <w:pPr>
        <w:spacing w:line="276" w:lineRule="auto"/>
        <w:ind w:left="1068"/>
        <w:contextualSpacing/>
        <w:rPr>
          <w:rFonts w:ascii="Arial" w:hAnsi="Arial" w:cs="Arial"/>
          <w:color w:val="FF0000"/>
          <w:sz w:val="28"/>
          <w:szCs w:val="24"/>
          <w:u w:val="single"/>
        </w:rPr>
      </w:pPr>
    </w:p>
    <w:p w:rsidR="002D37B1" w:rsidRPr="007966B9" w:rsidRDefault="007966B9" w:rsidP="002D37B1">
      <w:pPr>
        <w:numPr>
          <w:ilvl w:val="0"/>
          <w:numId w:val="29"/>
        </w:numPr>
        <w:spacing w:line="276" w:lineRule="auto"/>
        <w:contextualSpacing/>
        <w:rPr>
          <w:rFonts w:ascii="Arial" w:eastAsiaTheme="minorEastAsia" w:hAnsi="Arial" w:cs="Arial"/>
          <w:color w:val="538135" w:themeColor="accent6" w:themeShade="BF"/>
          <w:sz w:val="28"/>
          <w:szCs w:val="24"/>
          <w:lang w:eastAsia="fr-FR"/>
        </w:rPr>
      </w:pPr>
      <w:r>
        <w:rPr>
          <w:rFonts w:ascii="Arial" w:hAnsi="Arial" w:cs="Arial"/>
          <w:color w:val="538135" w:themeColor="accent6" w:themeShade="BF"/>
          <w:sz w:val="28"/>
          <w:szCs w:val="24"/>
          <w:u w:val="single"/>
        </w:rPr>
        <w:t>Contrô</w:t>
      </w:r>
      <w:r w:rsidRPr="007966B9">
        <w:rPr>
          <w:rFonts w:ascii="Arial" w:hAnsi="Arial" w:cs="Arial"/>
          <w:color w:val="538135" w:themeColor="accent6" w:themeShade="BF"/>
          <w:sz w:val="28"/>
          <w:szCs w:val="24"/>
          <w:u w:val="single"/>
        </w:rPr>
        <w:t xml:space="preserve">le ultime de concordance </w:t>
      </w:r>
    </w:p>
    <w:p w:rsidR="007966B9" w:rsidRPr="002D37B1" w:rsidRDefault="007966B9" w:rsidP="007966B9">
      <w:pPr>
        <w:spacing w:line="276" w:lineRule="auto"/>
        <w:ind w:left="1428"/>
        <w:contextualSpacing/>
        <w:rPr>
          <w:rFonts w:ascii="Arial" w:eastAsiaTheme="minorEastAsia" w:hAnsi="Arial" w:cs="Arial"/>
          <w:sz w:val="28"/>
          <w:szCs w:val="24"/>
          <w:lang w:eastAsia="fr-FR"/>
        </w:rPr>
      </w:pPr>
    </w:p>
    <w:p w:rsidR="002D37B1" w:rsidRPr="002D37B1" w:rsidRDefault="002D37B1" w:rsidP="002D37B1">
      <w:pPr>
        <w:spacing w:line="276" w:lineRule="auto"/>
        <w:rPr>
          <w:rFonts w:eastAsiaTheme="minorEastAsia" w:cstheme="minorHAnsi"/>
          <w:b/>
          <w:i/>
          <w:sz w:val="24"/>
          <w:szCs w:val="24"/>
          <w:u w:val="single"/>
          <w:lang w:eastAsia="fr-FR"/>
        </w:rPr>
      </w:pPr>
      <w:r w:rsidRPr="002D37B1">
        <w:rPr>
          <w:rFonts w:eastAsiaTheme="minorEastAsia" w:cstheme="minorHAnsi"/>
          <w:b/>
          <w:i/>
          <w:sz w:val="24"/>
          <w:szCs w:val="24"/>
          <w:u w:val="single"/>
          <w:lang w:eastAsia="fr-FR"/>
        </w:rPr>
        <w:t xml:space="preserve">Je vérifie La concordance entre l’identité du </w:t>
      </w:r>
      <w:r w:rsidRPr="00FD1B8C">
        <w:rPr>
          <w:rFonts w:eastAsiaTheme="minorEastAsia" w:cstheme="minorHAnsi"/>
          <w:b/>
          <w:i/>
          <w:sz w:val="24"/>
          <w:szCs w:val="24"/>
          <w:u w:val="single"/>
          <w:lang w:eastAsia="fr-FR"/>
        </w:rPr>
        <w:t xml:space="preserve">receveur ( </w:t>
      </w:r>
      <w:r w:rsidRPr="00FD1B8C">
        <w:rPr>
          <w:rFonts w:cs="Arial"/>
        </w:rPr>
        <w:t>nom de naissance, prénom de naissance,</w:t>
      </w:r>
      <w:r w:rsidRPr="00FD1B8C">
        <w:rPr>
          <w:rFonts w:cs="Arial"/>
          <w:b/>
        </w:rPr>
        <w:t xml:space="preserve"> </w:t>
      </w:r>
      <w:r w:rsidRPr="00FD1B8C">
        <w:rPr>
          <w:rFonts w:cs="Arial"/>
        </w:rPr>
        <w:t>date de naissance, sexe</w:t>
      </w:r>
      <w:r w:rsidRPr="00FD1B8C">
        <w:rPr>
          <w:rFonts w:cs="Arial"/>
          <w:b/>
        </w:rPr>
        <w:t xml:space="preserve"> ou</w:t>
      </w:r>
      <w:r w:rsidRPr="00FD1B8C">
        <w:rPr>
          <w:rFonts w:cs="Arial"/>
        </w:rPr>
        <w:t xml:space="preserve"> l’INS</w:t>
      </w:r>
      <w:r w:rsidRPr="00FD1B8C">
        <w:rPr>
          <w:rFonts w:cs="Arial"/>
          <w:vertAlign w:val="superscript"/>
        </w:rPr>
        <w:fldChar w:fldCharType="begin"/>
      </w:r>
      <w:r w:rsidRPr="00FD1B8C">
        <w:rPr>
          <w:rFonts w:cs="Arial"/>
          <w:vertAlign w:val="superscript"/>
        </w:rPr>
        <w:instrText xml:space="preserve"> NOTEREF _Ref71553670 \h  \* MERGEFORMAT </w:instrText>
      </w:r>
      <w:r w:rsidRPr="00FD1B8C">
        <w:rPr>
          <w:rFonts w:cs="Arial"/>
          <w:vertAlign w:val="superscript"/>
        </w:rPr>
      </w:r>
      <w:r w:rsidRPr="00FD1B8C">
        <w:rPr>
          <w:rFonts w:cs="Arial"/>
          <w:vertAlign w:val="superscript"/>
        </w:rPr>
        <w:fldChar w:fldCharType="separate"/>
      </w:r>
      <w:r w:rsidRPr="00FD1B8C">
        <w:rPr>
          <w:rFonts w:cs="Arial"/>
          <w:vertAlign w:val="superscript"/>
        </w:rPr>
        <w:t>1</w:t>
      </w:r>
      <w:r w:rsidRPr="00FD1B8C">
        <w:rPr>
          <w:rFonts w:cs="Arial"/>
          <w:vertAlign w:val="superscript"/>
        </w:rPr>
        <w:fldChar w:fldCharType="end"/>
      </w:r>
      <w:r w:rsidRPr="00FD1B8C">
        <w:rPr>
          <w:rFonts w:cs="Arial"/>
        </w:rPr>
        <w:t>)</w:t>
      </w:r>
      <w:r w:rsidRPr="002D37B1">
        <w:rPr>
          <w:rFonts w:cs="Arial"/>
        </w:rPr>
        <w:t xml:space="preserve"> </w:t>
      </w:r>
      <w:r w:rsidRPr="002D37B1">
        <w:rPr>
          <w:rFonts w:eastAsiaTheme="minorEastAsia" w:cstheme="minorHAnsi"/>
          <w:b/>
          <w:i/>
          <w:sz w:val="24"/>
          <w:szCs w:val="24"/>
          <w:u w:val="single"/>
          <w:lang w:eastAsia="fr-FR"/>
        </w:rPr>
        <w:t xml:space="preserve">et celle portée sur : </w:t>
      </w:r>
    </w:p>
    <w:p w:rsidR="002D37B1" w:rsidRPr="002D37B1" w:rsidRDefault="002D37B1" w:rsidP="007966B9">
      <w:pPr>
        <w:numPr>
          <w:ilvl w:val="0"/>
          <w:numId w:val="15"/>
        </w:numPr>
        <w:spacing w:line="276" w:lineRule="auto"/>
        <w:ind w:left="1701" w:hanging="283"/>
        <w:contextualSpacing/>
        <w:rPr>
          <w:rFonts w:eastAsiaTheme="minorEastAsia" w:cstheme="minorHAnsi"/>
          <w:szCs w:val="24"/>
          <w:lang w:eastAsia="fr-FR"/>
        </w:rPr>
      </w:pPr>
      <w:r w:rsidRPr="002D37B1">
        <w:rPr>
          <w:rFonts w:eastAsiaTheme="minorEastAsia" w:cstheme="minorHAnsi"/>
          <w:szCs w:val="24"/>
          <w:lang w:eastAsia="fr-FR"/>
        </w:rPr>
        <w:t>La prescription médicale de PSL</w:t>
      </w:r>
    </w:p>
    <w:p w:rsidR="002D37B1" w:rsidRPr="002D37B1" w:rsidRDefault="002D37B1" w:rsidP="007966B9">
      <w:pPr>
        <w:numPr>
          <w:ilvl w:val="0"/>
          <w:numId w:val="15"/>
        </w:numPr>
        <w:spacing w:line="276" w:lineRule="auto"/>
        <w:ind w:left="1701" w:hanging="283"/>
        <w:contextualSpacing/>
        <w:rPr>
          <w:rFonts w:eastAsiaTheme="minorEastAsia" w:cstheme="minorHAnsi"/>
          <w:szCs w:val="24"/>
          <w:lang w:eastAsia="fr-FR"/>
        </w:rPr>
      </w:pPr>
      <w:r w:rsidRPr="002D37B1">
        <w:rPr>
          <w:rFonts w:eastAsiaTheme="minorEastAsia" w:cstheme="minorHAnsi"/>
          <w:szCs w:val="24"/>
          <w:lang w:eastAsia="fr-FR"/>
        </w:rPr>
        <w:t>La FDN</w:t>
      </w:r>
    </w:p>
    <w:p w:rsidR="002D37B1" w:rsidRPr="002D37B1" w:rsidRDefault="002D37B1" w:rsidP="007966B9">
      <w:pPr>
        <w:numPr>
          <w:ilvl w:val="0"/>
          <w:numId w:val="15"/>
        </w:numPr>
        <w:spacing w:line="276" w:lineRule="auto"/>
        <w:ind w:left="1701" w:hanging="283"/>
        <w:contextualSpacing/>
        <w:rPr>
          <w:rFonts w:eastAsiaTheme="minorEastAsia" w:cstheme="minorHAnsi"/>
          <w:szCs w:val="24"/>
          <w:lang w:eastAsia="fr-FR"/>
        </w:rPr>
      </w:pPr>
      <w:r w:rsidRPr="002D37B1">
        <w:rPr>
          <w:rFonts w:eastAsiaTheme="minorEastAsia" w:cstheme="minorHAnsi"/>
          <w:szCs w:val="24"/>
          <w:lang w:eastAsia="fr-FR"/>
        </w:rPr>
        <w:t xml:space="preserve">Les 2 déterminations </w:t>
      </w:r>
      <w:proofErr w:type="spellStart"/>
      <w:r w:rsidRPr="002D37B1">
        <w:rPr>
          <w:rFonts w:eastAsiaTheme="minorEastAsia" w:cstheme="minorHAnsi"/>
          <w:szCs w:val="24"/>
          <w:lang w:eastAsia="fr-FR"/>
        </w:rPr>
        <w:t>phénotypage</w:t>
      </w:r>
      <w:proofErr w:type="spellEnd"/>
      <w:r w:rsidRPr="002D37B1">
        <w:rPr>
          <w:rFonts w:eastAsiaTheme="minorEastAsia" w:cstheme="minorHAnsi"/>
          <w:szCs w:val="24"/>
          <w:lang w:eastAsia="fr-FR"/>
        </w:rPr>
        <w:t xml:space="preserve"> érythrocytaire ABO RHKEL1</w:t>
      </w:r>
    </w:p>
    <w:p w:rsidR="002D37B1" w:rsidRPr="002D37B1" w:rsidRDefault="002D37B1" w:rsidP="007966B9">
      <w:pPr>
        <w:numPr>
          <w:ilvl w:val="0"/>
          <w:numId w:val="15"/>
        </w:numPr>
        <w:spacing w:line="276" w:lineRule="auto"/>
        <w:ind w:left="1701" w:hanging="283"/>
        <w:contextualSpacing/>
        <w:rPr>
          <w:rFonts w:eastAsiaTheme="minorEastAsia" w:cstheme="minorHAnsi"/>
          <w:szCs w:val="24"/>
          <w:lang w:eastAsia="fr-FR"/>
        </w:rPr>
      </w:pPr>
      <w:r w:rsidRPr="002D37B1">
        <w:rPr>
          <w:rFonts w:eastAsiaTheme="minorEastAsia" w:cstheme="minorHAnsi"/>
          <w:szCs w:val="24"/>
          <w:lang w:eastAsia="fr-FR"/>
        </w:rPr>
        <w:t xml:space="preserve">Résultat de la RAI </w:t>
      </w:r>
      <w:r w:rsidRPr="00FD1B8C">
        <w:rPr>
          <w:rFonts w:eastAsiaTheme="minorEastAsia" w:cstheme="minorHAnsi"/>
          <w:szCs w:val="24"/>
          <w:lang w:eastAsia="fr-FR"/>
        </w:rPr>
        <w:t>dans le cadre de la transfusion de CGR et de concentrés de granulocytes</w:t>
      </w:r>
    </w:p>
    <w:p w:rsidR="002D37B1" w:rsidRPr="002D37B1" w:rsidRDefault="002D37B1" w:rsidP="007966B9">
      <w:pPr>
        <w:numPr>
          <w:ilvl w:val="0"/>
          <w:numId w:val="15"/>
        </w:numPr>
        <w:spacing w:line="276" w:lineRule="auto"/>
        <w:ind w:left="1701" w:hanging="283"/>
        <w:contextualSpacing/>
        <w:rPr>
          <w:rFonts w:eastAsiaTheme="minorEastAsia" w:cstheme="minorHAnsi"/>
          <w:szCs w:val="24"/>
          <w:lang w:eastAsia="fr-FR"/>
        </w:rPr>
      </w:pPr>
      <w:r w:rsidRPr="002D37B1">
        <w:rPr>
          <w:rFonts w:eastAsiaTheme="minorEastAsia" w:cstheme="minorHAnsi"/>
          <w:szCs w:val="24"/>
          <w:lang w:eastAsia="fr-FR"/>
        </w:rPr>
        <w:t>L’étiquette complémentaire de compatibilité du PSL (si besoin)</w:t>
      </w:r>
    </w:p>
    <w:p w:rsidR="002D37B1" w:rsidRPr="002D37B1" w:rsidRDefault="002D37B1" w:rsidP="007966B9">
      <w:pPr>
        <w:ind w:left="1701" w:hanging="283"/>
        <w:rPr>
          <w:rFonts w:ascii="Calibri" w:hAnsi="Calibri"/>
          <w:u w:val="single"/>
        </w:rPr>
      </w:pPr>
    </w:p>
    <w:p w:rsidR="002D37B1" w:rsidRPr="002D37B1" w:rsidRDefault="002D37B1" w:rsidP="007966B9">
      <w:pPr>
        <w:numPr>
          <w:ilvl w:val="0"/>
          <w:numId w:val="18"/>
        </w:numPr>
        <w:ind w:left="1701" w:hanging="283"/>
        <w:contextualSpacing/>
        <w:rPr>
          <w:rFonts w:ascii="Calibri" w:hAnsi="Calibri"/>
        </w:rPr>
      </w:pPr>
      <w:r w:rsidRPr="002D37B1">
        <w:rPr>
          <w:rFonts w:ascii="Calibri" w:hAnsi="Calibri"/>
        </w:rPr>
        <w:t xml:space="preserve">La concordance entre les 2 déterminations </w:t>
      </w:r>
      <w:proofErr w:type="spellStart"/>
      <w:r w:rsidRPr="002D37B1">
        <w:rPr>
          <w:rFonts w:ascii="Calibri" w:hAnsi="Calibri"/>
        </w:rPr>
        <w:t>phénotypage</w:t>
      </w:r>
      <w:proofErr w:type="spellEnd"/>
      <w:r w:rsidRPr="002D37B1">
        <w:rPr>
          <w:rFonts w:ascii="Calibri" w:hAnsi="Calibri"/>
        </w:rPr>
        <w:t xml:space="preserve"> érythrocytaire ABO RHKEL1 et la </w:t>
      </w:r>
      <w:r w:rsidRPr="00FD1B8C">
        <w:rPr>
          <w:rFonts w:ascii="Calibri" w:hAnsi="Calibri"/>
        </w:rPr>
        <w:t>FDN</w:t>
      </w:r>
      <w:r w:rsidRPr="002D37B1">
        <w:rPr>
          <w:rFonts w:ascii="Calibri" w:hAnsi="Calibri"/>
        </w:rPr>
        <w:t xml:space="preserve"> et l’étiquette du PSL.</w:t>
      </w:r>
    </w:p>
    <w:p w:rsidR="002D37B1" w:rsidRPr="002D37B1" w:rsidRDefault="002D37B1" w:rsidP="007966B9">
      <w:pPr>
        <w:numPr>
          <w:ilvl w:val="0"/>
          <w:numId w:val="18"/>
        </w:numPr>
        <w:ind w:left="1701" w:hanging="283"/>
        <w:contextualSpacing/>
        <w:rPr>
          <w:rFonts w:ascii="Calibri" w:hAnsi="Calibri"/>
        </w:rPr>
      </w:pPr>
      <w:r w:rsidRPr="002D37B1">
        <w:rPr>
          <w:rFonts w:ascii="Calibri" w:hAnsi="Calibri"/>
        </w:rPr>
        <w:t>La concordance des données d’identification du PSL :</w:t>
      </w:r>
    </w:p>
    <w:p w:rsidR="002D37B1" w:rsidRPr="002D37B1" w:rsidRDefault="002D37B1" w:rsidP="007966B9">
      <w:pPr>
        <w:numPr>
          <w:ilvl w:val="0"/>
          <w:numId w:val="19"/>
        </w:numPr>
        <w:ind w:left="2127" w:hanging="283"/>
        <w:contextualSpacing/>
        <w:rPr>
          <w:rFonts w:ascii="Calibri" w:hAnsi="Calibri"/>
        </w:rPr>
      </w:pPr>
      <w:r w:rsidRPr="002D37B1">
        <w:rPr>
          <w:rFonts w:ascii="Calibri" w:hAnsi="Calibri"/>
        </w:rPr>
        <w:t>Etiquette du PSL et FDN</w:t>
      </w:r>
    </w:p>
    <w:p w:rsidR="002D37B1" w:rsidRPr="002D37B1" w:rsidRDefault="002D37B1" w:rsidP="007966B9">
      <w:pPr>
        <w:numPr>
          <w:ilvl w:val="0"/>
          <w:numId w:val="19"/>
        </w:numPr>
        <w:ind w:left="2127" w:hanging="283"/>
        <w:contextualSpacing/>
        <w:rPr>
          <w:rFonts w:ascii="Calibri" w:hAnsi="Calibri"/>
        </w:rPr>
      </w:pPr>
      <w:r w:rsidRPr="002D37B1">
        <w:rPr>
          <w:rFonts w:ascii="Calibri" w:hAnsi="Calibri"/>
        </w:rPr>
        <w:t>PSL reçu et PSL prescrit</w:t>
      </w:r>
    </w:p>
    <w:p w:rsidR="002D37B1" w:rsidRPr="002D37B1" w:rsidRDefault="002D37B1" w:rsidP="007966B9">
      <w:pPr>
        <w:numPr>
          <w:ilvl w:val="0"/>
          <w:numId w:val="19"/>
        </w:numPr>
        <w:ind w:left="2127" w:hanging="283"/>
        <w:contextualSpacing/>
        <w:rPr>
          <w:rFonts w:ascii="Calibri" w:hAnsi="Calibri"/>
        </w:rPr>
      </w:pPr>
      <w:r w:rsidRPr="002D37B1">
        <w:rPr>
          <w:rFonts w:ascii="Calibri" w:hAnsi="Calibri"/>
        </w:rPr>
        <w:t>Date de péremption</w:t>
      </w:r>
    </w:p>
    <w:p w:rsidR="002D37B1" w:rsidRPr="002D37B1" w:rsidRDefault="002D37B1" w:rsidP="007966B9">
      <w:pPr>
        <w:spacing w:after="0" w:line="240" w:lineRule="auto"/>
        <w:ind w:left="1701" w:hanging="283"/>
        <w:jc w:val="both"/>
        <w:rPr>
          <w:rFonts w:cs="Arial"/>
          <w:highlight w:val="yellow"/>
        </w:rPr>
      </w:pPr>
    </w:p>
    <w:p w:rsidR="002D37B1" w:rsidRPr="002D37B1" w:rsidRDefault="002D37B1" w:rsidP="007966B9">
      <w:pPr>
        <w:spacing w:after="0" w:line="240" w:lineRule="auto"/>
        <w:ind w:left="1701" w:hanging="283"/>
        <w:jc w:val="both"/>
        <w:rPr>
          <w:rFonts w:cs="Arial"/>
        </w:rPr>
      </w:pPr>
      <w:r w:rsidRPr="00FD1B8C">
        <w:rPr>
          <w:rFonts w:cs="Arial"/>
        </w:rPr>
        <w:t xml:space="preserve">           La conformité des protocoles transfusionnels spécifiques au patient.</w:t>
      </w:r>
    </w:p>
    <w:p w:rsidR="002D37B1" w:rsidRPr="002D37B1" w:rsidRDefault="002D37B1" w:rsidP="002D37B1">
      <w:pPr>
        <w:rPr>
          <w:rFonts w:ascii="Calibri" w:hAnsi="Calibri"/>
        </w:rPr>
      </w:pPr>
    </w:p>
    <w:p w:rsidR="002D37B1" w:rsidRPr="002D37B1" w:rsidRDefault="002D37B1" w:rsidP="002D37B1">
      <w:pPr>
        <w:rPr>
          <w:rFonts w:ascii="Calibri" w:hAnsi="Calibri"/>
        </w:rPr>
      </w:pPr>
    </w:p>
    <w:p w:rsidR="002D37B1" w:rsidRPr="002D37B1" w:rsidRDefault="002D37B1" w:rsidP="007966B9">
      <w:pPr>
        <w:numPr>
          <w:ilvl w:val="0"/>
          <w:numId w:val="20"/>
        </w:numPr>
        <w:ind w:left="1701" w:hanging="283"/>
        <w:contextualSpacing/>
        <w:rPr>
          <w:rFonts w:ascii="Calibri" w:hAnsi="Calibri"/>
        </w:rPr>
      </w:pPr>
      <w:r w:rsidRPr="002D37B1">
        <w:rPr>
          <w:rFonts w:ascii="Calibri" w:hAnsi="Calibri"/>
        </w:rPr>
        <w:t xml:space="preserve">Contrôle des paramètres cliniques : pouls, PA, température, fréquence respiratoire, </w:t>
      </w:r>
      <w:r w:rsidRPr="00FD1B8C">
        <w:rPr>
          <w:rFonts w:ascii="Calibri" w:hAnsi="Calibri"/>
        </w:rPr>
        <w:t xml:space="preserve">saturation en </w:t>
      </w:r>
      <w:r w:rsidR="00EE0E2B" w:rsidRPr="00FD1B8C">
        <w:rPr>
          <w:rFonts w:ascii="Calibri" w:hAnsi="Calibri"/>
        </w:rPr>
        <w:t>oxygène</w:t>
      </w:r>
      <w:r w:rsidRPr="00FD1B8C">
        <w:rPr>
          <w:rFonts w:ascii="Calibri" w:hAnsi="Calibri"/>
        </w:rPr>
        <w:t>.</w:t>
      </w:r>
      <w:r w:rsidRPr="002D37B1">
        <w:rPr>
          <w:rFonts w:ascii="Calibri" w:hAnsi="Calibri"/>
        </w:rPr>
        <w:t xml:space="preserve"> Notation de ceux-ci sur le dossier de soins.</w:t>
      </w:r>
    </w:p>
    <w:p w:rsidR="002D37B1" w:rsidRPr="002D37B1" w:rsidRDefault="002D37B1" w:rsidP="002D37B1">
      <w:pPr>
        <w:ind w:left="1068"/>
        <w:contextualSpacing/>
        <w:rPr>
          <w:rFonts w:ascii="Calibri" w:hAnsi="Calibri"/>
        </w:rPr>
      </w:pPr>
    </w:p>
    <w:p w:rsidR="002D37B1" w:rsidRPr="002D37B1" w:rsidRDefault="002D37B1" w:rsidP="002D37B1">
      <w:pPr>
        <w:ind w:left="1068"/>
        <w:contextualSpacing/>
        <w:rPr>
          <w:rFonts w:ascii="Calibri" w:hAnsi="Calibri"/>
        </w:rPr>
      </w:pPr>
    </w:p>
    <w:p w:rsidR="002D37B1" w:rsidRPr="002D37B1" w:rsidRDefault="007966B9" w:rsidP="007966B9">
      <w:pPr>
        <w:numPr>
          <w:ilvl w:val="0"/>
          <w:numId w:val="29"/>
        </w:numPr>
        <w:contextualSpacing/>
        <w:rPr>
          <w:rFonts w:ascii="Calibri" w:hAnsi="Calibri"/>
          <w:i/>
          <w:color w:val="0070C0"/>
          <w:sz w:val="28"/>
          <w:u w:val="single"/>
        </w:rPr>
      </w:pPr>
      <w:r>
        <w:rPr>
          <w:rFonts w:ascii="Calibri" w:hAnsi="Calibri"/>
          <w:i/>
          <w:color w:val="538135" w:themeColor="accent6" w:themeShade="BF"/>
          <w:sz w:val="32"/>
          <w:u w:val="single"/>
        </w:rPr>
        <w:t>C</w:t>
      </w:r>
      <w:r w:rsidR="002D37B1" w:rsidRPr="007966B9">
        <w:rPr>
          <w:rFonts w:ascii="Calibri" w:hAnsi="Calibri"/>
          <w:i/>
          <w:color w:val="538135" w:themeColor="accent6" w:themeShade="BF"/>
          <w:sz w:val="32"/>
          <w:u w:val="single"/>
        </w:rPr>
        <w:t>ontrôle ultime pré-transfusionnel biologique pour les CGR ou de concentrés de granulocytes</w:t>
      </w:r>
    </w:p>
    <w:p w:rsidR="002D37B1" w:rsidRPr="002D37B1" w:rsidRDefault="002D37B1" w:rsidP="002D37B1">
      <w:pPr>
        <w:rPr>
          <w:rFonts w:ascii="Calibri" w:hAnsi="Calibri"/>
          <w:color w:val="0070C0"/>
          <w:sz w:val="28"/>
        </w:rPr>
      </w:pPr>
    </w:p>
    <w:p w:rsidR="002D37B1" w:rsidRPr="002D37B1" w:rsidRDefault="002D37B1" w:rsidP="007966B9">
      <w:pPr>
        <w:numPr>
          <w:ilvl w:val="0"/>
          <w:numId w:val="20"/>
        </w:numPr>
        <w:ind w:left="1701" w:hanging="283"/>
        <w:contextualSpacing/>
        <w:rPr>
          <w:rFonts w:ascii="Calibri" w:hAnsi="Calibri"/>
        </w:rPr>
      </w:pPr>
      <w:r w:rsidRPr="002D37B1">
        <w:rPr>
          <w:rFonts w:ascii="Calibri" w:hAnsi="Calibri"/>
        </w:rPr>
        <w:t>Je vérifie la date de péremption du dispositif de CULM</w:t>
      </w:r>
    </w:p>
    <w:p w:rsidR="002D37B1" w:rsidRPr="002D37B1" w:rsidRDefault="002D37B1" w:rsidP="007966B9">
      <w:pPr>
        <w:numPr>
          <w:ilvl w:val="0"/>
          <w:numId w:val="20"/>
        </w:numPr>
        <w:ind w:left="1701" w:hanging="283"/>
        <w:contextualSpacing/>
        <w:rPr>
          <w:rFonts w:ascii="Calibri" w:hAnsi="Calibri"/>
          <w:color w:val="7030A0"/>
        </w:rPr>
      </w:pPr>
      <w:r w:rsidRPr="002D37B1">
        <w:rPr>
          <w:rFonts w:ascii="Calibri" w:hAnsi="Calibri"/>
        </w:rPr>
        <w:t xml:space="preserve">Je suis la fiche technique en fonction du dispositif </w:t>
      </w:r>
    </w:p>
    <w:p w:rsidR="002D37B1" w:rsidRPr="00FD1B8C" w:rsidRDefault="002D37B1" w:rsidP="007966B9">
      <w:pPr>
        <w:numPr>
          <w:ilvl w:val="0"/>
          <w:numId w:val="24"/>
        </w:numPr>
        <w:spacing w:after="0" w:line="240" w:lineRule="auto"/>
        <w:ind w:left="1701" w:hanging="283"/>
        <w:contextualSpacing/>
        <w:jc w:val="both"/>
        <w:rPr>
          <w:rFonts w:cs="Arial"/>
        </w:rPr>
      </w:pPr>
      <w:r w:rsidRPr="00FD1B8C">
        <w:rPr>
          <w:rFonts w:cs="Arial"/>
        </w:rPr>
        <w:t>Le dispositif de contrôle ultime doit comporter sur les parties prévues à cet effet :</w:t>
      </w:r>
    </w:p>
    <w:p w:rsidR="002D37B1" w:rsidRPr="00FD1B8C" w:rsidRDefault="002D37B1" w:rsidP="007966B9">
      <w:pPr>
        <w:numPr>
          <w:ilvl w:val="0"/>
          <w:numId w:val="30"/>
        </w:numPr>
        <w:spacing w:after="200" w:line="276" w:lineRule="auto"/>
        <w:ind w:left="1701" w:hanging="283"/>
        <w:contextualSpacing/>
        <w:rPr>
          <w:rFonts w:cstheme="minorHAnsi"/>
          <w:szCs w:val="24"/>
        </w:rPr>
      </w:pPr>
      <w:r w:rsidRPr="00FD1B8C">
        <w:rPr>
          <w:rFonts w:cs="Arial"/>
        </w:rPr>
        <w:t>l’identité du patient :  nom de naissance, prénom de naissance,</w:t>
      </w:r>
      <w:r w:rsidRPr="00FD1B8C">
        <w:rPr>
          <w:rFonts w:cs="Arial"/>
          <w:b/>
        </w:rPr>
        <w:t xml:space="preserve"> </w:t>
      </w:r>
      <w:r w:rsidRPr="00FD1B8C">
        <w:rPr>
          <w:rFonts w:cs="Arial"/>
        </w:rPr>
        <w:t>date de naissance, sexe</w:t>
      </w:r>
      <w:r w:rsidRPr="00FD1B8C">
        <w:rPr>
          <w:rFonts w:cs="Arial"/>
          <w:b/>
        </w:rPr>
        <w:t xml:space="preserve"> ou</w:t>
      </w:r>
      <w:r w:rsidRPr="00FD1B8C">
        <w:rPr>
          <w:rFonts w:cs="Arial"/>
        </w:rPr>
        <w:t xml:space="preserve"> l’INS</w:t>
      </w:r>
      <w:r w:rsidRPr="00FD1B8C">
        <w:rPr>
          <w:rFonts w:cs="Arial"/>
          <w:vertAlign w:val="superscript"/>
        </w:rPr>
        <w:fldChar w:fldCharType="begin"/>
      </w:r>
      <w:r w:rsidRPr="00FD1B8C">
        <w:rPr>
          <w:rFonts w:cs="Arial"/>
          <w:vertAlign w:val="superscript"/>
        </w:rPr>
        <w:instrText xml:space="preserve"> NOTEREF _Ref71553670 \h  \* MERGEFORMAT </w:instrText>
      </w:r>
      <w:r w:rsidRPr="00FD1B8C">
        <w:rPr>
          <w:rFonts w:cs="Arial"/>
          <w:vertAlign w:val="superscript"/>
        </w:rPr>
      </w:r>
      <w:r w:rsidRPr="00FD1B8C">
        <w:rPr>
          <w:rFonts w:cs="Arial"/>
          <w:vertAlign w:val="superscript"/>
        </w:rPr>
        <w:fldChar w:fldCharType="separate"/>
      </w:r>
      <w:r w:rsidRPr="00FD1B8C">
        <w:rPr>
          <w:rFonts w:cs="Arial"/>
          <w:vertAlign w:val="superscript"/>
        </w:rPr>
        <w:t>1</w:t>
      </w:r>
      <w:r w:rsidRPr="00FD1B8C">
        <w:rPr>
          <w:rFonts w:cs="Arial"/>
          <w:vertAlign w:val="superscript"/>
        </w:rPr>
        <w:fldChar w:fldCharType="end"/>
      </w:r>
      <w:r w:rsidRPr="00FD1B8C">
        <w:rPr>
          <w:rFonts w:cs="Arial"/>
        </w:rPr>
        <w:t>;</w:t>
      </w:r>
    </w:p>
    <w:p w:rsidR="002D37B1" w:rsidRPr="00FD1B8C" w:rsidRDefault="002D37B1" w:rsidP="007966B9">
      <w:pPr>
        <w:numPr>
          <w:ilvl w:val="0"/>
          <w:numId w:val="25"/>
        </w:numPr>
        <w:spacing w:after="0" w:line="240" w:lineRule="auto"/>
        <w:ind w:left="2268" w:hanging="283"/>
        <w:contextualSpacing/>
        <w:jc w:val="both"/>
        <w:rPr>
          <w:rFonts w:cs="Arial"/>
        </w:rPr>
      </w:pPr>
      <w:proofErr w:type="gramStart"/>
      <w:r w:rsidRPr="00FD1B8C">
        <w:rPr>
          <w:rFonts w:cs="Arial"/>
        </w:rPr>
        <w:t>l’identité</w:t>
      </w:r>
      <w:proofErr w:type="gramEnd"/>
      <w:r w:rsidRPr="00FD1B8C">
        <w:rPr>
          <w:rFonts w:cs="Arial"/>
        </w:rPr>
        <w:t xml:space="preserve"> du professionnel de santé qui réalise ce contrôle ;</w:t>
      </w:r>
    </w:p>
    <w:p w:rsidR="002D37B1" w:rsidRPr="00FD1B8C" w:rsidRDefault="002D37B1" w:rsidP="007966B9">
      <w:pPr>
        <w:numPr>
          <w:ilvl w:val="0"/>
          <w:numId w:val="25"/>
        </w:numPr>
        <w:spacing w:after="0" w:line="240" w:lineRule="auto"/>
        <w:ind w:left="2268" w:hanging="283"/>
        <w:contextualSpacing/>
        <w:jc w:val="both"/>
        <w:rPr>
          <w:rFonts w:cs="Arial"/>
        </w:rPr>
      </w:pPr>
      <w:proofErr w:type="gramStart"/>
      <w:r w:rsidRPr="00FD1B8C">
        <w:rPr>
          <w:rFonts w:cs="Arial"/>
        </w:rPr>
        <w:t>le</w:t>
      </w:r>
      <w:proofErr w:type="gramEnd"/>
      <w:r w:rsidRPr="00FD1B8C">
        <w:rPr>
          <w:rFonts w:cs="Arial"/>
        </w:rPr>
        <w:t xml:space="preserve"> numéro d’identification (code à barres) du CGR ou du concentré de granulocytes ;</w:t>
      </w:r>
    </w:p>
    <w:p w:rsidR="002D37B1" w:rsidRPr="00FD1B8C" w:rsidRDefault="002D37B1" w:rsidP="007966B9">
      <w:pPr>
        <w:numPr>
          <w:ilvl w:val="0"/>
          <w:numId w:val="25"/>
        </w:numPr>
        <w:spacing w:after="0" w:line="240" w:lineRule="auto"/>
        <w:ind w:left="2268" w:hanging="283"/>
        <w:contextualSpacing/>
        <w:jc w:val="both"/>
        <w:rPr>
          <w:rFonts w:cs="Arial"/>
        </w:rPr>
      </w:pPr>
      <w:proofErr w:type="gramStart"/>
      <w:r w:rsidRPr="00FD1B8C">
        <w:rPr>
          <w:rFonts w:cs="Arial"/>
        </w:rPr>
        <w:t>les</w:t>
      </w:r>
      <w:proofErr w:type="gramEnd"/>
      <w:r w:rsidRPr="00FD1B8C">
        <w:rPr>
          <w:rFonts w:cs="Arial"/>
        </w:rPr>
        <w:t xml:space="preserve"> résultats de la compatibilité immunologique entre le patient et le CGR ou le concentré de granulocytes ainsi que l’interprétation des résultats vis à vis de la décision transfusionnelle.</w:t>
      </w:r>
    </w:p>
    <w:p w:rsidR="002D37B1" w:rsidRPr="002D37B1" w:rsidRDefault="002D37B1" w:rsidP="002D37B1">
      <w:pPr>
        <w:rPr>
          <w:rFonts w:cs="Arial"/>
          <w:b/>
        </w:rPr>
      </w:pPr>
    </w:p>
    <w:p w:rsidR="002D37B1" w:rsidRPr="002D37B1" w:rsidRDefault="002D37B1" w:rsidP="002D37B1">
      <w:pPr>
        <w:pBdr>
          <w:top w:val="single" w:sz="4" w:space="1" w:color="FF0000"/>
          <w:left w:val="single" w:sz="4" w:space="4" w:color="FF0000"/>
          <w:bottom w:val="single" w:sz="4" w:space="1" w:color="FF0000"/>
          <w:right w:val="single" w:sz="4" w:space="4" w:color="FF0000"/>
        </w:pBdr>
        <w:rPr>
          <w:rFonts w:cs="Arial"/>
          <w:color w:val="FF0000"/>
        </w:rPr>
      </w:pPr>
      <w:r w:rsidRPr="002D37B1">
        <w:rPr>
          <w:rFonts w:cs="Arial"/>
          <w:b/>
          <w:color w:val="FF0000"/>
        </w:rPr>
        <w:t>Toute discordance, non-conformité, difficulté ou doute</w:t>
      </w:r>
      <w:r w:rsidRPr="002D37B1">
        <w:rPr>
          <w:rFonts w:cs="Arial"/>
          <w:color w:val="FF0000"/>
        </w:rPr>
        <w:t xml:space="preserve"> dans l'interprétation, portant soit sur le contrôle ultime de concordance, soit sur le contrôle ultime de compatibilité </w:t>
      </w:r>
      <w:r w:rsidRPr="002D37B1">
        <w:rPr>
          <w:rFonts w:cs="Arial"/>
          <w:b/>
          <w:color w:val="FF0000"/>
        </w:rPr>
        <w:t>conduit à suspendre la transfusion de PSL</w:t>
      </w:r>
      <w:r w:rsidRPr="002D37B1">
        <w:rPr>
          <w:rFonts w:cs="Arial"/>
          <w:color w:val="FF0000"/>
        </w:rPr>
        <w:t xml:space="preserve"> et impose un contact avec le médecin responsable de la transfusion. Celui-ci contacte, si nécessaire, le médecin ou le pharmacien habilité à délivrer un conseil transfusionnel.</w:t>
      </w:r>
    </w:p>
    <w:p w:rsidR="002D37B1" w:rsidRPr="002D37B1" w:rsidRDefault="002D37B1" w:rsidP="002D37B1">
      <w:pPr>
        <w:keepNext/>
        <w:spacing w:after="0" w:line="240" w:lineRule="auto"/>
        <w:ind w:left="426" w:right="424"/>
        <w:jc w:val="both"/>
        <w:outlineLvl w:val="1"/>
        <w:rPr>
          <w:rFonts w:ascii="Arial" w:eastAsia="Times New Roman" w:hAnsi="Arial" w:cs="Arial"/>
          <w:b/>
          <w:u w:val="single"/>
          <w:lang w:eastAsia="fr-FR"/>
        </w:rPr>
      </w:pPr>
    </w:p>
    <w:p w:rsidR="002D37B1" w:rsidRPr="002D37B1" w:rsidRDefault="002D37B1" w:rsidP="002D37B1">
      <w:pPr>
        <w:ind w:left="1068"/>
        <w:contextualSpacing/>
        <w:rPr>
          <w:rFonts w:ascii="Calibri" w:hAnsi="Calibri"/>
          <w:color w:val="7030A0"/>
        </w:rPr>
      </w:pPr>
    </w:p>
    <w:p w:rsidR="002D37B1" w:rsidRPr="002D37B1" w:rsidRDefault="002D37B1" w:rsidP="002D37B1">
      <w:pPr>
        <w:ind w:left="360"/>
        <w:jc w:val="center"/>
        <w:rPr>
          <w:rFonts w:ascii="Calibri" w:hAnsi="Calibri"/>
          <w:i/>
          <w:color w:val="0070C0"/>
          <w:sz w:val="32"/>
          <w:u w:val="single"/>
        </w:rPr>
      </w:pPr>
      <w:r w:rsidRPr="002D37B1">
        <w:rPr>
          <w:rFonts w:ascii="Calibri" w:hAnsi="Calibri"/>
          <w:i/>
          <w:color w:val="0070C0"/>
          <w:sz w:val="32"/>
          <w:u w:val="single"/>
        </w:rPr>
        <w:t>J’assure la surveillance du patient et la traçabilité</w:t>
      </w:r>
    </w:p>
    <w:p w:rsidR="002D37B1" w:rsidRPr="002D37B1" w:rsidRDefault="002D37B1" w:rsidP="002D37B1">
      <w:pPr>
        <w:ind w:left="360"/>
        <w:rPr>
          <w:rFonts w:ascii="Calibri" w:hAnsi="Calibri"/>
          <w:color w:val="0070C0"/>
          <w:sz w:val="28"/>
        </w:rPr>
      </w:pPr>
    </w:p>
    <w:p w:rsidR="002D37B1" w:rsidRPr="00FD1B8C" w:rsidRDefault="002D37B1" w:rsidP="002D37B1">
      <w:pPr>
        <w:numPr>
          <w:ilvl w:val="0"/>
          <w:numId w:val="21"/>
        </w:numPr>
        <w:ind w:left="709" w:hanging="425"/>
        <w:contextualSpacing/>
        <w:rPr>
          <w:rFonts w:ascii="Calibri" w:hAnsi="Calibri"/>
        </w:rPr>
      </w:pPr>
      <w:r w:rsidRPr="00FD1B8C">
        <w:rPr>
          <w:rFonts w:ascii="Calibri" w:hAnsi="Calibri"/>
        </w:rPr>
        <w:t xml:space="preserve">Je contrôle les paramètres cliniques : Pouls, PA, température, Fréquence respiratoire et saturation en </w:t>
      </w:r>
      <w:proofErr w:type="spellStart"/>
      <w:r w:rsidRPr="00FD1B8C">
        <w:rPr>
          <w:rFonts w:ascii="Calibri" w:hAnsi="Calibri"/>
        </w:rPr>
        <w:t>oxygéne</w:t>
      </w:r>
      <w:proofErr w:type="spellEnd"/>
    </w:p>
    <w:p w:rsidR="002D37B1" w:rsidRPr="00FD1B8C" w:rsidRDefault="002D37B1" w:rsidP="002D37B1">
      <w:pPr>
        <w:numPr>
          <w:ilvl w:val="0"/>
          <w:numId w:val="21"/>
        </w:numPr>
        <w:ind w:left="709" w:hanging="425"/>
        <w:contextualSpacing/>
        <w:rPr>
          <w:rFonts w:ascii="Calibri" w:hAnsi="Calibri"/>
        </w:rPr>
      </w:pPr>
      <w:r w:rsidRPr="00FD1B8C">
        <w:rPr>
          <w:rFonts w:ascii="Calibri" w:hAnsi="Calibri"/>
        </w:rPr>
        <w:t>Je pose la transfusion</w:t>
      </w:r>
    </w:p>
    <w:p w:rsidR="002D37B1" w:rsidRPr="00FD1B8C" w:rsidRDefault="002D37B1" w:rsidP="002D37B1">
      <w:pPr>
        <w:numPr>
          <w:ilvl w:val="0"/>
          <w:numId w:val="21"/>
        </w:numPr>
        <w:ind w:left="709" w:hanging="425"/>
        <w:contextualSpacing/>
        <w:rPr>
          <w:rFonts w:ascii="Calibri" w:hAnsi="Calibri"/>
        </w:rPr>
      </w:pPr>
      <w:r w:rsidRPr="00FD1B8C">
        <w:rPr>
          <w:rFonts w:ascii="Calibri" w:hAnsi="Calibri"/>
        </w:rPr>
        <w:t>Je reste auprès du patient les 10 à 15 premières minutes puis régulière et adaptée à la clinique et à la prescription médicale</w:t>
      </w:r>
    </w:p>
    <w:p w:rsidR="002D37B1" w:rsidRPr="00FD1B8C" w:rsidRDefault="002D37B1" w:rsidP="002D37B1">
      <w:pPr>
        <w:numPr>
          <w:ilvl w:val="0"/>
          <w:numId w:val="21"/>
        </w:numPr>
        <w:ind w:left="709" w:hanging="425"/>
        <w:contextualSpacing/>
        <w:rPr>
          <w:rFonts w:ascii="Calibri" w:hAnsi="Calibri"/>
        </w:rPr>
      </w:pPr>
      <w:r w:rsidRPr="00FD1B8C">
        <w:rPr>
          <w:rFonts w:ascii="Calibri" w:hAnsi="Calibri"/>
        </w:rPr>
        <w:t>Je complète la FDN</w:t>
      </w:r>
    </w:p>
    <w:p w:rsidR="002D37B1" w:rsidRPr="00FD1B8C" w:rsidRDefault="002D37B1" w:rsidP="002D37B1">
      <w:pPr>
        <w:numPr>
          <w:ilvl w:val="0"/>
          <w:numId w:val="21"/>
        </w:numPr>
        <w:ind w:left="709" w:hanging="425"/>
        <w:contextualSpacing/>
        <w:rPr>
          <w:rFonts w:ascii="Calibri" w:hAnsi="Calibri"/>
        </w:rPr>
      </w:pPr>
      <w:r w:rsidRPr="00FD1B8C">
        <w:rPr>
          <w:rFonts w:ascii="Calibri" w:hAnsi="Calibri"/>
          <w:u w:val="single"/>
        </w:rPr>
        <w:t>Je transcris sur le dossier de soins</w:t>
      </w:r>
      <w:r w:rsidRPr="00FD1B8C">
        <w:rPr>
          <w:rFonts w:ascii="Calibri" w:hAnsi="Calibri"/>
        </w:rPr>
        <w:t xml:space="preserve"> :</w:t>
      </w:r>
    </w:p>
    <w:p w:rsidR="002D37B1" w:rsidRPr="00FD1B8C" w:rsidRDefault="002D37B1" w:rsidP="002D37B1">
      <w:pPr>
        <w:numPr>
          <w:ilvl w:val="0"/>
          <w:numId w:val="19"/>
        </w:numPr>
        <w:ind w:left="1560"/>
        <w:contextualSpacing/>
        <w:rPr>
          <w:rFonts w:cstheme="minorHAnsi"/>
          <w:szCs w:val="24"/>
        </w:rPr>
      </w:pPr>
      <w:r w:rsidRPr="00FD1B8C">
        <w:rPr>
          <w:rFonts w:cstheme="minorHAnsi"/>
          <w:szCs w:val="24"/>
        </w:rPr>
        <w:t>Les paramètres cliniques de départ</w:t>
      </w:r>
    </w:p>
    <w:p w:rsidR="002D37B1" w:rsidRPr="00FD1B8C" w:rsidRDefault="002D37B1" w:rsidP="002D37B1">
      <w:pPr>
        <w:numPr>
          <w:ilvl w:val="0"/>
          <w:numId w:val="19"/>
        </w:numPr>
        <w:ind w:left="1560"/>
        <w:contextualSpacing/>
        <w:rPr>
          <w:rFonts w:cstheme="minorHAnsi"/>
          <w:szCs w:val="24"/>
        </w:rPr>
      </w:pPr>
      <w:r w:rsidRPr="00FD1B8C">
        <w:rPr>
          <w:rFonts w:cstheme="minorHAnsi"/>
          <w:szCs w:val="24"/>
        </w:rPr>
        <w:t>L’heure de début de la transfusion</w:t>
      </w:r>
    </w:p>
    <w:p w:rsidR="002D37B1" w:rsidRPr="00FD1B8C" w:rsidRDefault="002D37B1" w:rsidP="002D37B1">
      <w:pPr>
        <w:numPr>
          <w:ilvl w:val="0"/>
          <w:numId w:val="19"/>
        </w:numPr>
        <w:ind w:left="1560"/>
        <w:contextualSpacing/>
        <w:rPr>
          <w:rFonts w:cstheme="minorHAnsi"/>
          <w:szCs w:val="24"/>
        </w:rPr>
      </w:pPr>
      <w:r w:rsidRPr="00FD1B8C">
        <w:rPr>
          <w:rFonts w:cstheme="minorHAnsi"/>
          <w:szCs w:val="24"/>
        </w:rPr>
        <w:t>Le type de PSL et son numéro</w:t>
      </w:r>
    </w:p>
    <w:p w:rsidR="002D37B1" w:rsidRPr="00FD1B8C" w:rsidRDefault="002D37B1" w:rsidP="002D37B1">
      <w:pPr>
        <w:ind w:left="2148"/>
        <w:contextualSpacing/>
        <w:rPr>
          <w:rFonts w:cstheme="minorHAnsi"/>
          <w:szCs w:val="24"/>
        </w:rPr>
      </w:pPr>
    </w:p>
    <w:p w:rsidR="002D37B1" w:rsidRPr="002D37B1" w:rsidRDefault="002D37B1" w:rsidP="002D37B1">
      <w:pPr>
        <w:numPr>
          <w:ilvl w:val="0"/>
          <w:numId w:val="22"/>
        </w:numPr>
        <w:ind w:left="709"/>
        <w:contextualSpacing/>
        <w:rPr>
          <w:rFonts w:cstheme="minorHAnsi"/>
          <w:szCs w:val="24"/>
        </w:rPr>
      </w:pPr>
      <w:r w:rsidRPr="00FD1B8C">
        <w:rPr>
          <w:rFonts w:cstheme="minorHAnsi"/>
          <w:szCs w:val="24"/>
        </w:rPr>
        <w:t xml:space="preserve">Je surveille les signes de réactions anormales à la transfusion (pouls, PA, Température, FR, saturation en </w:t>
      </w:r>
      <w:proofErr w:type="spellStart"/>
      <w:r w:rsidRPr="00FD1B8C">
        <w:rPr>
          <w:rFonts w:cstheme="minorHAnsi"/>
          <w:szCs w:val="24"/>
        </w:rPr>
        <w:t>oxygéne</w:t>
      </w:r>
      <w:proofErr w:type="spellEnd"/>
      <w:r w:rsidRPr="00FD1B8C">
        <w:rPr>
          <w:rFonts w:cstheme="minorHAnsi"/>
          <w:szCs w:val="24"/>
        </w:rPr>
        <w:t>,</w:t>
      </w:r>
      <w:r w:rsidRPr="002D37B1">
        <w:rPr>
          <w:rFonts w:cstheme="minorHAnsi"/>
          <w:szCs w:val="24"/>
        </w:rPr>
        <w:t xml:space="preserve"> symptômes cliniques), en cas de problème j’appelle le médecin du service et je prends la fiche CAT en cas d’EIR</w:t>
      </w:r>
    </w:p>
    <w:p w:rsidR="002D37B1" w:rsidRPr="002D37B1" w:rsidRDefault="002D37B1" w:rsidP="002D37B1">
      <w:pPr>
        <w:ind w:left="709"/>
        <w:contextualSpacing/>
        <w:rPr>
          <w:rFonts w:cstheme="minorHAnsi"/>
          <w:szCs w:val="24"/>
        </w:rPr>
      </w:pPr>
    </w:p>
    <w:p w:rsidR="002D37B1" w:rsidRPr="002D37B1" w:rsidRDefault="002D37B1" w:rsidP="002D37B1">
      <w:pPr>
        <w:numPr>
          <w:ilvl w:val="0"/>
          <w:numId w:val="22"/>
        </w:numPr>
        <w:ind w:left="709"/>
        <w:contextualSpacing/>
        <w:rPr>
          <w:rFonts w:cstheme="minorHAnsi"/>
          <w:szCs w:val="24"/>
        </w:rPr>
      </w:pPr>
      <w:r w:rsidRPr="002D37B1">
        <w:rPr>
          <w:rFonts w:cstheme="minorHAnsi"/>
          <w:szCs w:val="24"/>
        </w:rPr>
        <w:t>Je contrôle les paramètres cliniques avant de sortir de la chambre</w:t>
      </w:r>
    </w:p>
    <w:p w:rsidR="002D37B1" w:rsidRPr="002D37B1" w:rsidRDefault="002D37B1" w:rsidP="002D37B1">
      <w:pPr>
        <w:numPr>
          <w:ilvl w:val="0"/>
          <w:numId w:val="22"/>
        </w:numPr>
        <w:ind w:left="709"/>
        <w:contextualSpacing/>
        <w:rPr>
          <w:rFonts w:cstheme="minorHAnsi"/>
          <w:szCs w:val="24"/>
        </w:rPr>
      </w:pPr>
      <w:r w:rsidRPr="002D37B1">
        <w:rPr>
          <w:rFonts w:cstheme="minorHAnsi"/>
          <w:szCs w:val="24"/>
        </w:rPr>
        <w:t>J’adapte le débit de transfusion aux prescriptions médicales</w:t>
      </w:r>
    </w:p>
    <w:p w:rsidR="002D37B1" w:rsidRPr="002D37B1" w:rsidRDefault="002D37B1" w:rsidP="002D37B1">
      <w:pPr>
        <w:ind w:left="1068"/>
        <w:contextualSpacing/>
        <w:rPr>
          <w:rFonts w:cstheme="minorHAnsi"/>
          <w:szCs w:val="24"/>
        </w:rPr>
      </w:pPr>
    </w:p>
    <w:p w:rsidR="002D37B1" w:rsidRPr="002D37B1" w:rsidRDefault="002D37B1" w:rsidP="002D37B1">
      <w:pPr>
        <w:ind w:left="1068"/>
        <w:contextualSpacing/>
        <w:rPr>
          <w:rFonts w:cstheme="minorHAnsi"/>
          <w:szCs w:val="24"/>
        </w:rPr>
      </w:pPr>
    </w:p>
    <w:p w:rsidR="002D37B1" w:rsidRPr="002D37B1" w:rsidRDefault="002D37B1" w:rsidP="002D37B1">
      <w:pPr>
        <w:ind w:left="1068"/>
        <w:contextualSpacing/>
        <w:jc w:val="center"/>
        <w:rPr>
          <w:rFonts w:cstheme="minorHAnsi"/>
          <w:i/>
          <w:color w:val="0070C0"/>
          <w:sz w:val="28"/>
          <w:szCs w:val="24"/>
          <w:u w:val="single"/>
        </w:rPr>
      </w:pPr>
      <w:r w:rsidRPr="002D37B1">
        <w:rPr>
          <w:rFonts w:cstheme="minorHAnsi"/>
          <w:i/>
          <w:color w:val="0070C0"/>
          <w:sz w:val="32"/>
          <w:szCs w:val="24"/>
          <w:u w:val="single"/>
        </w:rPr>
        <w:t>En fin de transfusion</w:t>
      </w:r>
    </w:p>
    <w:p w:rsidR="002D37B1" w:rsidRPr="002D37B1" w:rsidRDefault="002D37B1" w:rsidP="002D37B1">
      <w:pPr>
        <w:ind w:left="1068"/>
        <w:contextualSpacing/>
        <w:rPr>
          <w:rFonts w:cstheme="minorHAnsi"/>
          <w:color w:val="0070C0"/>
          <w:sz w:val="28"/>
          <w:szCs w:val="24"/>
        </w:rPr>
      </w:pPr>
    </w:p>
    <w:p w:rsidR="002D37B1" w:rsidRPr="002D37B1" w:rsidRDefault="002D37B1" w:rsidP="002D37B1">
      <w:pPr>
        <w:numPr>
          <w:ilvl w:val="0"/>
          <w:numId w:val="23"/>
        </w:numPr>
        <w:spacing w:after="200" w:line="276" w:lineRule="auto"/>
        <w:ind w:left="851" w:hanging="425"/>
        <w:contextualSpacing/>
        <w:rPr>
          <w:rFonts w:cstheme="minorHAnsi"/>
          <w:szCs w:val="24"/>
        </w:rPr>
      </w:pPr>
      <w:r w:rsidRPr="002D37B1">
        <w:rPr>
          <w:rFonts w:cstheme="minorHAnsi"/>
          <w:szCs w:val="24"/>
        </w:rPr>
        <w:t xml:space="preserve">Je conserve le PSL et le CULM </w:t>
      </w:r>
      <w:r w:rsidRPr="00FD1B8C">
        <w:rPr>
          <w:rFonts w:cstheme="minorHAnsi"/>
          <w:szCs w:val="24"/>
        </w:rPr>
        <w:t>4 heures à température ambiante</w:t>
      </w:r>
    </w:p>
    <w:p w:rsidR="002D37B1" w:rsidRPr="002D37B1" w:rsidRDefault="002D37B1" w:rsidP="002D37B1">
      <w:pPr>
        <w:numPr>
          <w:ilvl w:val="0"/>
          <w:numId w:val="23"/>
        </w:numPr>
        <w:spacing w:after="200" w:line="276" w:lineRule="auto"/>
        <w:ind w:left="851" w:hanging="425"/>
        <w:contextualSpacing/>
        <w:rPr>
          <w:rFonts w:cstheme="minorHAnsi"/>
          <w:szCs w:val="24"/>
        </w:rPr>
      </w:pPr>
      <w:r w:rsidRPr="002D37B1">
        <w:rPr>
          <w:rFonts w:cstheme="minorHAnsi"/>
          <w:szCs w:val="24"/>
        </w:rPr>
        <w:t>Je vérifie la constitution du dossier transfusionnel</w:t>
      </w:r>
    </w:p>
    <w:p w:rsidR="002D37B1" w:rsidRPr="002D37B1" w:rsidRDefault="002D37B1" w:rsidP="002D37B1">
      <w:pPr>
        <w:numPr>
          <w:ilvl w:val="0"/>
          <w:numId w:val="23"/>
        </w:numPr>
        <w:spacing w:after="200" w:line="276" w:lineRule="auto"/>
        <w:ind w:left="851" w:hanging="425"/>
        <w:contextualSpacing/>
        <w:rPr>
          <w:rFonts w:cstheme="minorHAnsi"/>
          <w:szCs w:val="24"/>
        </w:rPr>
      </w:pPr>
      <w:r w:rsidRPr="002D37B1">
        <w:rPr>
          <w:rFonts w:cstheme="minorHAnsi"/>
          <w:szCs w:val="24"/>
        </w:rPr>
        <w:t xml:space="preserve">Je complète la FDN </w:t>
      </w:r>
    </w:p>
    <w:p w:rsidR="002D37B1" w:rsidRPr="00FD1B8C" w:rsidRDefault="002D37B1" w:rsidP="002D37B1">
      <w:pPr>
        <w:numPr>
          <w:ilvl w:val="0"/>
          <w:numId w:val="23"/>
        </w:numPr>
        <w:spacing w:after="200" w:line="276" w:lineRule="auto"/>
        <w:ind w:left="851" w:hanging="425"/>
        <w:contextualSpacing/>
        <w:rPr>
          <w:rFonts w:cstheme="minorHAnsi"/>
          <w:szCs w:val="24"/>
        </w:rPr>
      </w:pPr>
      <w:r w:rsidRPr="00FD1B8C">
        <w:rPr>
          <w:rFonts w:cstheme="minorHAnsi"/>
        </w:rPr>
        <w:t xml:space="preserve">La traçabilité du PSL est réalisée dès le début de la transfusion selon des modalités définies pour en assurer la disponibilité selon les exigences réglementaires. </w:t>
      </w:r>
    </w:p>
    <w:p w:rsidR="002D37B1" w:rsidRPr="00FD1B8C" w:rsidRDefault="002D37B1" w:rsidP="002D37B1">
      <w:pPr>
        <w:spacing w:after="200" w:line="276" w:lineRule="auto"/>
        <w:ind w:left="851"/>
        <w:contextualSpacing/>
        <w:rPr>
          <w:rFonts w:cstheme="minorHAnsi"/>
          <w:szCs w:val="24"/>
        </w:rPr>
      </w:pPr>
    </w:p>
    <w:p w:rsidR="002D37B1" w:rsidRPr="002D37B1" w:rsidRDefault="002D37B1" w:rsidP="002D37B1">
      <w:pPr>
        <w:rPr>
          <w:vertAlign w:val="superscript"/>
        </w:rPr>
      </w:pPr>
      <w:r w:rsidRPr="00FD1B8C">
        <w:rPr>
          <w:vertAlign w:val="superscript"/>
        </w:rPr>
        <w:t>1</w:t>
      </w:r>
      <w:r w:rsidRPr="00FD1B8C">
        <w:t> : L’identifiant national de santé comporte le matricule INS ainsi que les cinq traits d’identité de référence qui sont le nom de naissance, le(s) prénom(s) de naissance, la date de naissance, le sexe et le code INSEE du lieu de naissance. Dans l’attente de la généralisation de son utilisation, les éléments d’identification du patient peuvent être limités au nom de naissance, prénom de naissance, date de naissance et sexe.</w:t>
      </w:r>
    </w:p>
    <w:p w:rsidR="003575B4" w:rsidRDefault="003575B4" w:rsidP="003575B4">
      <w:pPr>
        <w:jc w:val="center"/>
      </w:pPr>
      <w:bookmarkStart w:id="0" w:name="_GoBack"/>
      <w:bookmarkEnd w:id="0"/>
    </w:p>
    <w:sectPr w:rsidR="003575B4" w:rsidSect="00E01806">
      <w:headerReference w:type="default" r:id="rId8"/>
      <w:footerReference w:type="default" r:id="rId9"/>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6C2" w:rsidRDefault="00D806C2" w:rsidP="00CE47D1">
      <w:pPr>
        <w:spacing w:after="0" w:line="240" w:lineRule="auto"/>
      </w:pPr>
      <w:r>
        <w:separator/>
      </w:r>
    </w:p>
  </w:endnote>
  <w:endnote w:type="continuationSeparator" w:id="0">
    <w:p w:rsidR="00D806C2" w:rsidRDefault="00D806C2" w:rsidP="00CE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83" w:rsidRPr="00F3500B" w:rsidRDefault="00BF02A8" w:rsidP="00554F14">
    <w:pPr>
      <w:pStyle w:val="Pieddepage"/>
      <w:rPr>
        <w:rFonts w:ascii="Arial" w:hAnsi="Arial" w:cs="Arial"/>
        <w:color w:val="000080"/>
        <w:sz w:val="14"/>
        <w:szCs w:val="16"/>
      </w:rPr>
    </w:pPr>
    <w:r>
      <w:rPr>
        <w:rFonts w:ascii="Arial" w:hAnsi="Arial" w:cs="Arial"/>
        <w:i/>
        <w:color w:val="000080"/>
        <w:sz w:val="12"/>
        <w:szCs w:val="16"/>
      </w:rPr>
      <w:t>HV</w:t>
    </w:r>
    <w:r w:rsidR="00F3500B" w:rsidRPr="00F3500B">
      <w:rPr>
        <w:rFonts w:ascii="Arial" w:hAnsi="Arial" w:cs="Arial"/>
        <w:i/>
        <w:color w:val="000080"/>
        <w:sz w:val="12"/>
        <w:szCs w:val="16"/>
      </w:rPr>
      <w:t>CVL/</w:t>
    </w:r>
    <w:r w:rsidR="005D6669">
      <w:rPr>
        <w:rFonts w:ascii="Arial" w:hAnsi="Arial" w:cs="Arial"/>
        <w:i/>
        <w:color w:val="000080"/>
        <w:sz w:val="12"/>
        <w:szCs w:val="16"/>
      </w:rPr>
      <w:t>DOSSIER-T</w:t>
    </w:r>
    <w:r>
      <w:rPr>
        <w:rFonts w:ascii="Arial" w:hAnsi="Arial" w:cs="Arial"/>
        <w:i/>
        <w:color w:val="000080"/>
        <w:sz w:val="12"/>
        <w:szCs w:val="16"/>
      </w:rPr>
      <w:t>RANSFUSIONNEL/ANNEXE5</w:t>
    </w:r>
  </w:p>
  <w:p w:rsidR="00E77183" w:rsidRDefault="00E77183" w:rsidP="00E77183">
    <w:pPr>
      <w:pStyle w:val="Pieddepage"/>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6C2" w:rsidRDefault="00D806C2" w:rsidP="00CE47D1">
      <w:pPr>
        <w:spacing w:after="0" w:line="240" w:lineRule="auto"/>
      </w:pPr>
      <w:r>
        <w:separator/>
      </w:r>
    </w:p>
  </w:footnote>
  <w:footnote w:type="continuationSeparator" w:id="0">
    <w:p w:rsidR="00D806C2" w:rsidRDefault="00D806C2" w:rsidP="00CE4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D1" w:rsidRDefault="00273F0A"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73F0A">
      <w:rPr>
        <w:noProof/>
        <w:sz w:val="14"/>
        <w:lang w:eastAsia="fr-FR"/>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178217</wp:posOffset>
              </wp:positionV>
              <wp:extent cx="5732060" cy="6994"/>
              <wp:effectExtent l="0" t="0" r="21590" b="31115"/>
              <wp:wrapNone/>
              <wp:docPr id="1" name="Connecteur droit 1"/>
              <wp:cNvGraphicFramePr/>
              <a:graphic xmlns:a="http://schemas.openxmlformats.org/drawingml/2006/main">
                <a:graphicData uri="http://schemas.microsoft.com/office/word/2010/wordprocessingShape">
                  <wps:wsp>
                    <wps:cNvCnPr/>
                    <wps:spPr>
                      <a:xfrm flipV="1">
                        <a:off x="0" y="0"/>
                        <a:ext cx="5732060" cy="6994"/>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2C39F" id="Connecteur droit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15pt,14.05pt" to="85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" strokecolor="#4472c4 [3208]" strokeweight=".5pt">
              <v:stroke joinstyle="miter"/>
              <w10:wrap anchorx="margin"/>
            </v:line>
          </w:pict>
        </mc:Fallback>
      </mc:AlternateContent>
    </w:r>
    <w:r w:rsidRPr="00273F0A">
      <w:rPr>
        <w:noProof/>
        <w:sz w:val="14"/>
        <w:lang w:eastAsia="fr-FR"/>
      </w:rPr>
      <w:drawing>
        <wp:anchor distT="0" distB="0" distL="114300" distR="114300" simplePos="0" relativeHeight="251660288" behindDoc="1" locked="0" layoutInCell="1" allowOverlap="1">
          <wp:simplePos x="0" y="0"/>
          <wp:positionH relativeFrom="column">
            <wp:posOffset>150495</wp:posOffset>
          </wp:positionH>
          <wp:positionV relativeFrom="paragraph">
            <wp:posOffset>232410</wp:posOffset>
          </wp:positionV>
          <wp:extent cx="395785" cy="361154"/>
          <wp:effectExtent l="0" t="0" r="444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MOVIGILA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785" cy="361154"/>
                  </a:xfrm>
                  <a:prstGeom prst="rect">
                    <a:avLst/>
                  </a:prstGeom>
                </pic:spPr>
              </pic:pic>
            </a:graphicData>
          </a:graphic>
        </wp:anchor>
      </w:drawing>
    </w:r>
    <w:r w:rsidRPr="00273F0A">
      <w:rPr>
        <w:rFonts w:ascii="Times New Roman" w:hAnsi="Times New Roman" w:cs="Times New Roman"/>
        <w:noProof/>
        <w:sz w:val="16"/>
        <w:szCs w:val="24"/>
        <w:lang w:eastAsia="fr-FR"/>
      </w:rPr>
      <w:drawing>
        <wp:anchor distT="0" distB="0" distL="114300" distR="114300" simplePos="0" relativeHeight="251659264" behindDoc="1" locked="0" layoutInCell="1" allowOverlap="0" wp14:anchorId="5258606D" wp14:editId="23782684">
          <wp:simplePos x="0" y="0"/>
          <wp:positionH relativeFrom="margin">
            <wp:align>left</wp:align>
          </wp:positionH>
          <wp:positionV relativeFrom="line">
            <wp:posOffset>-163034</wp:posOffset>
          </wp:positionV>
          <wp:extent cx="808028" cy="300251"/>
          <wp:effectExtent l="0" t="0" r="0" b="50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028" cy="300251"/>
                  </a:xfrm>
                  <a:prstGeom prst="rect">
                    <a:avLst/>
                  </a:prstGeom>
                  <a:noFill/>
                </pic:spPr>
              </pic:pic>
            </a:graphicData>
          </a:graphic>
          <wp14:sizeRelH relativeFrom="page">
            <wp14:pctWidth>0</wp14:pctWidth>
          </wp14:sizeRelH>
          <wp14:sizeRelV relativeFrom="page">
            <wp14:pctHeight>0</wp14:pctHeight>
          </wp14:sizeRelV>
        </wp:anchor>
      </w:drawing>
    </w:r>
    <w:r w:rsidRPr="00273F0A">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CELLULE REGIONALE D’HEMOVIGILANCE</w:t>
    </w:r>
  </w:p>
  <w:p w:rsidR="00F3500B" w:rsidRPr="00273F0A" w:rsidRDefault="00F3500B"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Centre-Val de Loire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0344"/>
    <w:multiLevelType w:val="hybridMultilevel"/>
    <w:tmpl w:val="1D105280"/>
    <w:lvl w:ilvl="0" w:tplc="3B2ECC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EE1CF6"/>
    <w:multiLevelType w:val="hybridMultilevel"/>
    <w:tmpl w:val="6BB43B90"/>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 w15:restartNumberingAfterBreak="0">
    <w:nsid w:val="09F77207"/>
    <w:multiLevelType w:val="hybridMultilevel"/>
    <w:tmpl w:val="6462A34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D74551E"/>
    <w:multiLevelType w:val="hybridMultilevel"/>
    <w:tmpl w:val="7232783C"/>
    <w:lvl w:ilvl="0" w:tplc="CD0498F4">
      <w:numFmt w:val="bullet"/>
      <w:lvlText w:val="-"/>
      <w:lvlJc w:val="left"/>
      <w:pPr>
        <w:ind w:left="2148" w:hanging="360"/>
      </w:pPr>
      <w:rPr>
        <w:rFonts w:ascii="Calibri" w:eastAsiaTheme="minorHAnsi" w:hAnsi="Calibri" w:cs="Calibri"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4" w15:restartNumberingAfterBreak="0">
    <w:nsid w:val="16F3105B"/>
    <w:multiLevelType w:val="hybridMultilevel"/>
    <w:tmpl w:val="BCD832CE"/>
    <w:lvl w:ilvl="0" w:tplc="E3A840BA">
      <w:start w:val="1"/>
      <w:numFmt w:val="bullet"/>
      <w:lvlText w:val=""/>
      <w:lvlJc w:val="left"/>
      <w:pPr>
        <w:ind w:left="2568" w:hanging="360"/>
      </w:pPr>
      <w:rPr>
        <w:rFonts w:ascii="Symbol" w:hAnsi="Symbol" w:hint="default"/>
        <w:color w:val="auto"/>
        <w:sz w:val="22"/>
      </w:rPr>
    </w:lvl>
    <w:lvl w:ilvl="1" w:tplc="040C0003" w:tentative="1">
      <w:start w:val="1"/>
      <w:numFmt w:val="bullet"/>
      <w:lvlText w:val="o"/>
      <w:lvlJc w:val="left"/>
      <w:pPr>
        <w:ind w:left="3288" w:hanging="360"/>
      </w:pPr>
      <w:rPr>
        <w:rFonts w:ascii="Courier New" w:hAnsi="Courier New" w:cs="Courier New" w:hint="default"/>
      </w:rPr>
    </w:lvl>
    <w:lvl w:ilvl="2" w:tplc="040C0005" w:tentative="1">
      <w:start w:val="1"/>
      <w:numFmt w:val="bullet"/>
      <w:lvlText w:val=""/>
      <w:lvlJc w:val="left"/>
      <w:pPr>
        <w:ind w:left="4008" w:hanging="360"/>
      </w:pPr>
      <w:rPr>
        <w:rFonts w:ascii="Wingdings" w:hAnsi="Wingdings" w:hint="default"/>
      </w:rPr>
    </w:lvl>
    <w:lvl w:ilvl="3" w:tplc="040C0001" w:tentative="1">
      <w:start w:val="1"/>
      <w:numFmt w:val="bullet"/>
      <w:lvlText w:val=""/>
      <w:lvlJc w:val="left"/>
      <w:pPr>
        <w:ind w:left="4728" w:hanging="360"/>
      </w:pPr>
      <w:rPr>
        <w:rFonts w:ascii="Symbol" w:hAnsi="Symbol" w:hint="default"/>
      </w:rPr>
    </w:lvl>
    <w:lvl w:ilvl="4" w:tplc="040C0003" w:tentative="1">
      <w:start w:val="1"/>
      <w:numFmt w:val="bullet"/>
      <w:lvlText w:val="o"/>
      <w:lvlJc w:val="left"/>
      <w:pPr>
        <w:ind w:left="5448" w:hanging="360"/>
      </w:pPr>
      <w:rPr>
        <w:rFonts w:ascii="Courier New" w:hAnsi="Courier New" w:cs="Courier New" w:hint="default"/>
      </w:rPr>
    </w:lvl>
    <w:lvl w:ilvl="5" w:tplc="040C0005" w:tentative="1">
      <w:start w:val="1"/>
      <w:numFmt w:val="bullet"/>
      <w:lvlText w:val=""/>
      <w:lvlJc w:val="left"/>
      <w:pPr>
        <w:ind w:left="6168" w:hanging="360"/>
      </w:pPr>
      <w:rPr>
        <w:rFonts w:ascii="Wingdings" w:hAnsi="Wingdings" w:hint="default"/>
      </w:rPr>
    </w:lvl>
    <w:lvl w:ilvl="6" w:tplc="040C0001" w:tentative="1">
      <w:start w:val="1"/>
      <w:numFmt w:val="bullet"/>
      <w:lvlText w:val=""/>
      <w:lvlJc w:val="left"/>
      <w:pPr>
        <w:ind w:left="6888" w:hanging="360"/>
      </w:pPr>
      <w:rPr>
        <w:rFonts w:ascii="Symbol" w:hAnsi="Symbol" w:hint="default"/>
      </w:rPr>
    </w:lvl>
    <w:lvl w:ilvl="7" w:tplc="040C0003" w:tentative="1">
      <w:start w:val="1"/>
      <w:numFmt w:val="bullet"/>
      <w:lvlText w:val="o"/>
      <w:lvlJc w:val="left"/>
      <w:pPr>
        <w:ind w:left="7608" w:hanging="360"/>
      </w:pPr>
      <w:rPr>
        <w:rFonts w:ascii="Courier New" w:hAnsi="Courier New" w:cs="Courier New" w:hint="default"/>
      </w:rPr>
    </w:lvl>
    <w:lvl w:ilvl="8" w:tplc="040C0005" w:tentative="1">
      <w:start w:val="1"/>
      <w:numFmt w:val="bullet"/>
      <w:lvlText w:val=""/>
      <w:lvlJc w:val="left"/>
      <w:pPr>
        <w:ind w:left="8328" w:hanging="360"/>
      </w:pPr>
      <w:rPr>
        <w:rFonts w:ascii="Wingdings" w:hAnsi="Wingdings" w:hint="default"/>
      </w:rPr>
    </w:lvl>
  </w:abstractNum>
  <w:abstractNum w:abstractNumId="5" w15:restartNumberingAfterBreak="0">
    <w:nsid w:val="183E456B"/>
    <w:multiLevelType w:val="hybridMultilevel"/>
    <w:tmpl w:val="F460B996"/>
    <w:lvl w:ilvl="0" w:tplc="58D6A146">
      <w:start w:val="1"/>
      <w:numFmt w:val="bullet"/>
      <w:lvlText w:val=""/>
      <w:lvlJc w:val="left"/>
      <w:pPr>
        <w:ind w:left="2508" w:hanging="360"/>
      </w:pPr>
      <w:rPr>
        <w:rFonts w:ascii="Wingdings" w:hAnsi="Wingdings" w:hint="default"/>
        <w:color w:val="FF0000"/>
      </w:rPr>
    </w:lvl>
    <w:lvl w:ilvl="1" w:tplc="040C0003" w:tentative="1">
      <w:start w:val="1"/>
      <w:numFmt w:val="bullet"/>
      <w:lvlText w:val="o"/>
      <w:lvlJc w:val="left"/>
      <w:pPr>
        <w:ind w:left="3228" w:hanging="360"/>
      </w:pPr>
      <w:rPr>
        <w:rFonts w:ascii="Courier New" w:hAnsi="Courier New" w:cs="Courier New" w:hint="default"/>
      </w:rPr>
    </w:lvl>
    <w:lvl w:ilvl="2" w:tplc="040C0005" w:tentative="1">
      <w:start w:val="1"/>
      <w:numFmt w:val="bullet"/>
      <w:lvlText w:val=""/>
      <w:lvlJc w:val="left"/>
      <w:pPr>
        <w:ind w:left="3948" w:hanging="360"/>
      </w:pPr>
      <w:rPr>
        <w:rFonts w:ascii="Wingdings" w:hAnsi="Wingdings" w:hint="default"/>
      </w:rPr>
    </w:lvl>
    <w:lvl w:ilvl="3" w:tplc="040C0001" w:tentative="1">
      <w:start w:val="1"/>
      <w:numFmt w:val="bullet"/>
      <w:lvlText w:val=""/>
      <w:lvlJc w:val="left"/>
      <w:pPr>
        <w:ind w:left="4668" w:hanging="360"/>
      </w:pPr>
      <w:rPr>
        <w:rFonts w:ascii="Symbol" w:hAnsi="Symbol" w:hint="default"/>
      </w:rPr>
    </w:lvl>
    <w:lvl w:ilvl="4" w:tplc="040C0003" w:tentative="1">
      <w:start w:val="1"/>
      <w:numFmt w:val="bullet"/>
      <w:lvlText w:val="o"/>
      <w:lvlJc w:val="left"/>
      <w:pPr>
        <w:ind w:left="5388" w:hanging="360"/>
      </w:pPr>
      <w:rPr>
        <w:rFonts w:ascii="Courier New" w:hAnsi="Courier New" w:cs="Courier New" w:hint="default"/>
      </w:rPr>
    </w:lvl>
    <w:lvl w:ilvl="5" w:tplc="040C0005" w:tentative="1">
      <w:start w:val="1"/>
      <w:numFmt w:val="bullet"/>
      <w:lvlText w:val=""/>
      <w:lvlJc w:val="left"/>
      <w:pPr>
        <w:ind w:left="6108" w:hanging="360"/>
      </w:pPr>
      <w:rPr>
        <w:rFonts w:ascii="Wingdings" w:hAnsi="Wingdings" w:hint="default"/>
      </w:rPr>
    </w:lvl>
    <w:lvl w:ilvl="6" w:tplc="040C0001" w:tentative="1">
      <w:start w:val="1"/>
      <w:numFmt w:val="bullet"/>
      <w:lvlText w:val=""/>
      <w:lvlJc w:val="left"/>
      <w:pPr>
        <w:ind w:left="6828" w:hanging="360"/>
      </w:pPr>
      <w:rPr>
        <w:rFonts w:ascii="Symbol" w:hAnsi="Symbol" w:hint="default"/>
      </w:rPr>
    </w:lvl>
    <w:lvl w:ilvl="7" w:tplc="040C0003" w:tentative="1">
      <w:start w:val="1"/>
      <w:numFmt w:val="bullet"/>
      <w:lvlText w:val="o"/>
      <w:lvlJc w:val="left"/>
      <w:pPr>
        <w:ind w:left="7548" w:hanging="360"/>
      </w:pPr>
      <w:rPr>
        <w:rFonts w:ascii="Courier New" w:hAnsi="Courier New" w:cs="Courier New" w:hint="default"/>
      </w:rPr>
    </w:lvl>
    <w:lvl w:ilvl="8" w:tplc="040C0005" w:tentative="1">
      <w:start w:val="1"/>
      <w:numFmt w:val="bullet"/>
      <w:lvlText w:val=""/>
      <w:lvlJc w:val="left"/>
      <w:pPr>
        <w:ind w:left="8268" w:hanging="360"/>
      </w:pPr>
      <w:rPr>
        <w:rFonts w:ascii="Wingdings" w:hAnsi="Wingdings" w:hint="default"/>
      </w:rPr>
    </w:lvl>
  </w:abstractNum>
  <w:abstractNum w:abstractNumId="6" w15:restartNumberingAfterBreak="0">
    <w:nsid w:val="28AA2D5A"/>
    <w:multiLevelType w:val="hybridMultilevel"/>
    <w:tmpl w:val="FECC9916"/>
    <w:lvl w:ilvl="0" w:tplc="E3A840BA">
      <w:start w:val="1"/>
      <w:numFmt w:val="bullet"/>
      <w:lvlText w:val=""/>
      <w:lvlJc w:val="left"/>
      <w:pPr>
        <w:ind w:left="1788" w:hanging="360"/>
      </w:pPr>
      <w:rPr>
        <w:rFonts w:ascii="Symbol" w:hAnsi="Symbol" w:hint="default"/>
        <w:color w:val="auto"/>
        <w:sz w:val="22"/>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7" w15:restartNumberingAfterBreak="0">
    <w:nsid w:val="2A73466E"/>
    <w:multiLevelType w:val="hybridMultilevel"/>
    <w:tmpl w:val="CDB2B8F0"/>
    <w:lvl w:ilvl="0" w:tplc="66E03AEC">
      <w:start w:val="1"/>
      <w:numFmt w:val="upperRoman"/>
      <w:lvlText w:val="%1)"/>
      <w:lvlJc w:val="left"/>
      <w:pPr>
        <w:ind w:left="1080" w:hanging="720"/>
      </w:pPr>
      <w:rPr>
        <w:rFonts w:hint="default"/>
        <w:b/>
        <w:i/>
        <w:color w:val="C00000"/>
        <w:sz w:val="32"/>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BDA0059"/>
    <w:multiLevelType w:val="hybridMultilevel"/>
    <w:tmpl w:val="B4AE2B08"/>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9" w15:restartNumberingAfterBreak="0">
    <w:nsid w:val="2FA17BB0"/>
    <w:multiLevelType w:val="hybridMultilevel"/>
    <w:tmpl w:val="A0463ED4"/>
    <w:lvl w:ilvl="0" w:tplc="040C0001">
      <w:start w:val="1"/>
      <w:numFmt w:val="bullet"/>
      <w:lvlText w:val=""/>
      <w:lvlJc w:val="left"/>
      <w:pPr>
        <w:ind w:left="3167" w:hanging="360"/>
      </w:pPr>
      <w:rPr>
        <w:rFonts w:ascii="Symbol" w:hAnsi="Symbol" w:hint="default"/>
      </w:rPr>
    </w:lvl>
    <w:lvl w:ilvl="1" w:tplc="040C0003">
      <w:start w:val="1"/>
      <w:numFmt w:val="bullet"/>
      <w:lvlText w:val="o"/>
      <w:lvlJc w:val="left"/>
      <w:pPr>
        <w:ind w:left="3887" w:hanging="360"/>
      </w:pPr>
      <w:rPr>
        <w:rFonts w:ascii="Courier New" w:hAnsi="Courier New" w:cs="Courier New" w:hint="default"/>
      </w:rPr>
    </w:lvl>
    <w:lvl w:ilvl="2" w:tplc="040C0005">
      <w:start w:val="1"/>
      <w:numFmt w:val="bullet"/>
      <w:lvlText w:val=""/>
      <w:lvlJc w:val="left"/>
      <w:pPr>
        <w:ind w:left="4607" w:hanging="360"/>
      </w:pPr>
      <w:rPr>
        <w:rFonts w:ascii="Wingdings" w:hAnsi="Wingdings" w:hint="default"/>
      </w:rPr>
    </w:lvl>
    <w:lvl w:ilvl="3" w:tplc="040C0001">
      <w:start w:val="1"/>
      <w:numFmt w:val="bullet"/>
      <w:lvlText w:val=""/>
      <w:lvlJc w:val="left"/>
      <w:pPr>
        <w:ind w:left="5327" w:hanging="360"/>
      </w:pPr>
      <w:rPr>
        <w:rFonts w:ascii="Symbol" w:hAnsi="Symbol" w:hint="default"/>
      </w:rPr>
    </w:lvl>
    <w:lvl w:ilvl="4" w:tplc="040C0003">
      <w:start w:val="1"/>
      <w:numFmt w:val="bullet"/>
      <w:lvlText w:val="o"/>
      <w:lvlJc w:val="left"/>
      <w:pPr>
        <w:ind w:left="6047" w:hanging="360"/>
      </w:pPr>
      <w:rPr>
        <w:rFonts w:ascii="Courier New" w:hAnsi="Courier New" w:cs="Courier New" w:hint="default"/>
      </w:rPr>
    </w:lvl>
    <w:lvl w:ilvl="5" w:tplc="040C0005">
      <w:start w:val="1"/>
      <w:numFmt w:val="bullet"/>
      <w:lvlText w:val=""/>
      <w:lvlJc w:val="left"/>
      <w:pPr>
        <w:ind w:left="6767" w:hanging="360"/>
      </w:pPr>
      <w:rPr>
        <w:rFonts w:ascii="Wingdings" w:hAnsi="Wingdings" w:hint="default"/>
      </w:rPr>
    </w:lvl>
    <w:lvl w:ilvl="6" w:tplc="040C0001">
      <w:start w:val="1"/>
      <w:numFmt w:val="bullet"/>
      <w:lvlText w:val=""/>
      <w:lvlJc w:val="left"/>
      <w:pPr>
        <w:ind w:left="7487" w:hanging="360"/>
      </w:pPr>
      <w:rPr>
        <w:rFonts w:ascii="Symbol" w:hAnsi="Symbol" w:hint="default"/>
      </w:rPr>
    </w:lvl>
    <w:lvl w:ilvl="7" w:tplc="040C0003">
      <w:start w:val="1"/>
      <w:numFmt w:val="bullet"/>
      <w:lvlText w:val="o"/>
      <w:lvlJc w:val="left"/>
      <w:pPr>
        <w:ind w:left="8207" w:hanging="360"/>
      </w:pPr>
      <w:rPr>
        <w:rFonts w:ascii="Courier New" w:hAnsi="Courier New" w:cs="Courier New" w:hint="default"/>
      </w:rPr>
    </w:lvl>
    <w:lvl w:ilvl="8" w:tplc="040C0005">
      <w:start w:val="1"/>
      <w:numFmt w:val="bullet"/>
      <w:lvlText w:val=""/>
      <w:lvlJc w:val="left"/>
      <w:pPr>
        <w:ind w:left="8927" w:hanging="360"/>
      </w:pPr>
      <w:rPr>
        <w:rFonts w:ascii="Wingdings" w:hAnsi="Wingdings" w:hint="default"/>
      </w:rPr>
    </w:lvl>
  </w:abstractNum>
  <w:abstractNum w:abstractNumId="10" w15:restartNumberingAfterBreak="0">
    <w:nsid w:val="33440786"/>
    <w:multiLevelType w:val="hybridMultilevel"/>
    <w:tmpl w:val="5E14C154"/>
    <w:lvl w:ilvl="0" w:tplc="040C0001">
      <w:start w:val="1"/>
      <w:numFmt w:val="bullet"/>
      <w:lvlText w:val=""/>
      <w:lvlJc w:val="left"/>
      <w:pPr>
        <w:ind w:left="1766" w:hanging="360"/>
      </w:pPr>
      <w:rPr>
        <w:rFonts w:ascii="Symbol" w:hAnsi="Symbol" w:hint="default"/>
      </w:rPr>
    </w:lvl>
    <w:lvl w:ilvl="1" w:tplc="040C0003" w:tentative="1">
      <w:start w:val="1"/>
      <w:numFmt w:val="bullet"/>
      <w:lvlText w:val="o"/>
      <w:lvlJc w:val="left"/>
      <w:pPr>
        <w:ind w:left="2486" w:hanging="360"/>
      </w:pPr>
      <w:rPr>
        <w:rFonts w:ascii="Courier New" w:hAnsi="Courier New" w:cs="Courier New" w:hint="default"/>
      </w:rPr>
    </w:lvl>
    <w:lvl w:ilvl="2" w:tplc="040C0005" w:tentative="1">
      <w:start w:val="1"/>
      <w:numFmt w:val="bullet"/>
      <w:lvlText w:val=""/>
      <w:lvlJc w:val="left"/>
      <w:pPr>
        <w:ind w:left="3206" w:hanging="360"/>
      </w:pPr>
      <w:rPr>
        <w:rFonts w:ascii="Wingdings" w:hAnsi="Wingdings" w:hint="default"/>
      </w:rPr>
    </w:lvl>
    <w:lvl w:ilvl="3" w:tplc="040C0001" w:tentative="1">
      <w:start w:val="1"/>
      <w:numFmt w:val="bullet"/>
      <w:lvlText w:val=""/>
      <w:lvlJc w:val="left"/>
      <w:pPr>
        <w:ind w:left="3926" w:hanging="360"/>
      </w:pPr>
      <w:rPr>
        <w:rFonts w:ascii="Symbol" w:hAnsi="Symbol" w:hint="default"/>
      </w:rPr>
    </w:lvl>
    <w:lvl w:ilvl="4" w:tplc="040C0003" w:tentative="1">
      <w:start w:val="1"/>
      <w:numFmt w:val="bullet"/>
      <w:lvlText w:val="o"/>
      <w:lvlJc w:val="left"/>
      <w:pPr>
        <w:ind w:left="4646" w:hanging="360"/>
      </w:pPr>
      <w:rPr>
        <w:rFonts w:ascii="Courier New" w:hAnsi="Courier New" w:cs="Courier New" w:hint="default"/>
      </w:rPr>
    </w:lvl>
    <w:lvl w:ilvl="5" w:tplc="040C0005" w:tentative="1">
      <w:start w:val="1"/>
      <w:numFmt w:val="bullet"/>
      <w:lvlText w:val=""/>
      <w:lvlJc w:val="left"/>
      <w:pPr>
        <w:ind w:left="5366" w:hanging="360"/>
      </w:pPr>
      <w:rPr>
        <w:rFonts w:ascii="Wingdings" w:hAnsi="Wingdings" w:hint="default"/>
      </w:rPr>
    </w:lvl>
    <w:lvl w:ilvl="6" w:tplc="040C0001" w:tentative="1">
      <w:start w:val="1"/>
      <w:numFmt w:val="bullet"/>
      <w:lvlText w:val=""/>
      <w:lvlJc w:val="left"/>
      <w:pPr>
        <w:ind w:left="6086" w:hanging="360"/>
      </w:pPr>
      <w:rPr>
        <w:rFonts w:ascii="Symbol" w:hAnsi="Symbol" w:hint="default"/>
      </w:rPr>
    </w:lvl>
    <w:lvl w:ilvl="7" w:tplc="040C0003" w:tentative="1">
      <w:start w:val="1"/>
      <w:numFmt w:val="bullet"/>
      <w:lvlText w:val="o"/>
      <w:lvlJc w:val="left"/>
      <w:pPr>
        <w:ind w:left="6806" w:hanging="360"/>
      </w:pPr>
      <w:rPr>
        <w:rFonts w:ascii="Courier New" w:hAnsi="Courier New" w:cs="Courier New" w:hint="default"/>
      </w:rPr>
    </w:lvl>
    <w:lvl w:ilvl="8" w:tplc="040C0005" w:tentative="1">
      <w:start w:val="1"/>
      <w:numFmt w:val="bullet"/>
      <w:lvlText w:val=""/>
      <w:lvlJc w:val="left"/>
      <w:pPr>
        <w:ind w:left="7526" w:hanging="360"/>
      </w:pPr>
      <w:rPr>
        <w:rFonts w:ascii="Wingdings" w:hAnsi="Wingdings" w:hint="default"/>
      </w:rPr>
    </w:lvl>
  </w:abstractNum>
  <w:abstractNum w:abstractNumId="11" w15:restartNumberingAfterBreak="0">
    <w:nsid w:val="33D81B22"/>
    <w:multiLevelType w:val="hybridMultilevel"/>
    <w:tmpl w:val="21E4A13C"/>
    <w:lvl w:ilvl="0" w:tplc="1BB09CF8">
      <w:numFmt w:val="bullet"/>
      <w:lvlText w:val="-"/>
      <w:lvlJc w:val="left"/>
      <w:pPr>
        <w:ind w:left="1069" w:hanging="360"/>
      </w:pPr>
      <w:rPr>
        <w:rFonts w:ascii="Arial" w:eastAsia="Times New Roman" w:hAnsi="Arial" w:cs="Aria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2" w15:restartNumberingAfterBreak="0">
    <w:nsid w:val="38A96998"/>
    <w:multiLevelType w:val="hybridMultilevel"/>
    <w:tmpl w:val="23F24030"/>
    <w:lvl w:ilvl="0" w:tplc="E012AEEA">
      <w:numFmt w:val="bullet"/>
      <w:lvlText w:val=""/>
      <w:lvlJc w:val="left"/>
      <w:pPr>
        <w:ind w:left="720" w:hanging="360"/>
      </w:pPr>
      <w:rPr>
        <w:rFonts w:ascii="Wingdings" w:eastAsiaTheme="minorHAnsi" w:hAnsi="Wingdings" w:cstheme="minorBidi"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A118C1"/>
    <w:multiLevelType w:val="hybridMultilevel"/>
    <w:tmpl w:val="D0F60D80"/>
    <w:lvl w:ilvl="0" w:tplc="1BB09CF8">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3C7F2479"/>
    <w:multiLevelType w:val="hybridMultilevel"/>
    <w:tmpl w:val="BFCA52C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3632E9"/>
    <w:multiLevelType w:val="hybridMultilevel"/>
    <w:tmpl w:val="B2E81F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FE276F7"/>
    <w:multiLevelType w:val="hybridMultilevel"/>
    <w:tmpl w:val="63B693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DA4E9E"/>
    <w:multiLevelType w:val="hybridMultilevel"/>
    <w:tmpl w:val="24729F7C"/>
    <w:lvl w:ilvl="0" w:tplc="E3A840BA">
      <w:start w:val="1"/>
      <w:numFmt w:val="bullet"/>
      <w:lvlText w:val=""/>
      <w:lvlJc w:val="left"/>
      <w:pPr>
        <w:ind w:left="1788" w:hanging="360"/>
      </w:pPr>
      <w:rPr>
        <w:rFonts w:ascii="Symbol" w:hAnsi="Symbol" w:hint="default"/>
        <w:color w:val="auto"/>
        <w:sz w:val="22"/>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8" w15:restartNumberingAfterBreak="0">
    <w:nsid w:val="48D00866"/>
    <w:multiLevelType w:val="hybridMultilevel"/>
    <w:tmpl w:val="B6B28178"/>
    <w:lvl w:ilvl="0" w:tplc="E3A840BA">
      <w:start w:val="1"/>
      <w:numFmt w:val="bullet"/>
      <w:lvlText w:val=""/>
      <w:lvlJc w:val="left"/>
      <w:pPr>
        <w:ind w:left="1788" w:hanging="360"/>
      </w:pPr>
      <w:rPr>
        <w:rFonts w:ascii="Symbol" w:hAnsi="Symbol" w:hint="default"/>
        <w:color w:val="auto"/>
        <w:sz w:val="22"/>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9" w15:restartNumberingAfterBreak="0">
    <w:nsid w:val="4AA27F1D"/>
    <w:multiLevelType w:val="hybridMultilevel"/>
    <w:tmpl w:val="32DC8074"/>
    <w:lvl w:ilvl="0" w:tplc="04B6226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BDF7A19"/>
    <w:multiLevelType w:val="hybridMultilevel"/>
    <w:tmpl w:val="DF94B2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CC18DD"/>
    <w:multiLevelType w:val="hybridMultilevel"/>
    <w:tmpl w:val="FC9E077C"/>
    <w:lvl w:ilvl="0" w:tplc="1BB09CF8">
      <w:numFmt w:val="bullet"/>
      <w:lvlText w:val="-"/>
      <w:lvlJc w:val="left"/>
      <w:pPr>
        <w:ind w:left="1069" w:hanging="360"/>
      </w:pPr>
      <w:rPr>
        <w:rFonts w:ascii="Arial" w:eastAsia="Times New Roman" w:hAnsi="Arial" w:cs="Aria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52303E17"/>
    <w:multiLevelType w:val="hybridMultilevel"/>
    <w:tmpl w:val="B5889C64"/>
    <w:lvl w:ilvl="0" w:tplc="17B26FBA">
      <w:start w:val="1"/>
      <w:numFmt w:val="upperLetter"/>
      <w:lvlText w:val="%1)"/>
      <w:lvlJc w:val="left"/>
      <w:pPr>
        <w:ind w:left="1428" w:hanging="360"/>
      </w:pPr>
      <w:rPr>
        <w:rFonts w:eastAsiaTheme="minorHAnsi" w:hint="default"/>
        <w:color w:val="538135" w:themeColor="accent6" w:themeShade="BF"/>
        <w:u w:val="none"/>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3" w15:restartNumberingAfterBreak="0">
    <w:nsid w:val="523465BC"/>
    <w:multiLevelType w:val="hybridMultilevel"/>
    <w:tmpl w:val="31F03DD2"/>
    <w:lvl w:ilvl="0" w:tplc="E3A840BA">
      <w:start w:val="1"/>
      <w:numFmt w:val="bullet"/>
      <w:lvlText w:val=""/>
      <w:lvlJc w:val="left"/>
      <w:pPr>
        <w:ind w:left="1788" w:hanging="360"/>
      </w:pPr>
      <w:rPr>
        <w:rFonts w:ascii="Symbol" w:hAnsi="Symbol" w:hint="default"/>
        <w:color w:val="auto"/>
        <w:sz w:val="22"/>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24" w15:restartNumberingAfterBreak="0">
    <w:nsid w:val="53F076C4"/>
    <w:multiLevelType w:val="hybridMultilevel"/>
    <w:tmpl w:val="D576ADB2"/>
    <w:lvl w:ilvl="0" w:tplc="9C3892E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4411376"/>
    <w:multiLevelType w:val="hybridMultilevel"/>
    <w:tmpl w:val="2280F18C"/>
    <w:lvl w:ilvl="0" w:tplc="484E6772">
      <w:start w:val="1"/>
      <w:numFmt w:val="decimal"/>
      <w:lvlText w:val="%1)"/>
      <w:lvlJc w:val="left"/>
      <w:pPr>
        <w:ind w:left="1080" w:hanging="360"/>
      </w:pPr>
      <w:rPr>
        <w:rFonts w:hint="default"/>
        <w:i/>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4C556EB"/>
    <w:multiLevelType w:val="hybridMultilevel"/>
    <w:tmpl w:val="EFD09C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5B71BB5"/>
    <w:multiLevelType w:val="hybridMultilevel"/>
    <w:tmpl w:val="F0FC9600"/>
    <w:lvl w:ilvl="0" w:tplc="29C8449C">
      <w:numFmt w:val="bullet"/>
      <w:lvlText w:val=""/>
      <w:lvlJc w:val="left"/>
      <w:pPr>
        <w:ind w:left="720" w:hanging="360"/>
      </w:pPr>
      <w:rPr>
        <w:rFonts w:ascii="Wingdings" w:eastAsiaTheme="minorHAnsi" w:hAnsi="Wingdings" w:cstheme="minorBidi" w:hint="default"/>
        <w:b w:val="0"/>
        <w:i w:val="0"/>
        <w:color w:val="C0000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7BB676B"/>
    <w:multiLevelType w:val="hybridMultilevel"/>
    <w:tmpl w:val="6DA274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697B588B"/>
    <w:multiLevelType w:val="hybridMultilevel"/>
    <w:tmpl w:val="A164E110"/>
    <w:lvl w:ilvl="0" w:tplc="E3A840BA">
      <w:start w:val="1"/>
      <w:numFmt w:val="bullet"/>
      <w:lvlText w:val=""/>
      <w:lvlJc w:val="left"/>
      <w:pPr>
        <w:ind w:left="1788" w:hanging="360"/>
      </w:pPr>
      <w:rPr>
        <w:rFonts w:ascii="Symbol" w:hAnsi="Symbol" w:hint="default"/>
        <w:color w:val="auto"/>
        <w:sz w:val="22"/>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30" w15:restartNumberingAfterBreak="0">
    <w:nsid w:val="6A592ED6"/>
    <w:multiLevelType w:val="hybridMultilevel"/>
    <w:tmpl w:val="74A20688"/>
    <w:lvl w:ilvl="0" w:tplc="A4F4AD00">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1" w15:restartNumberingAfterBreak="0">
    <w:nsid w:val="6F236D4F"/>
    <w:multiLevelType w:val="hybridMultilevel"/>
    <w:tmpl w:val="8DD82D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155620"/>
    <w:multiLevelType w:val="hybridMultilevel"/>
    <w:tmpl w:val="04822F66"/>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33" w15:restartNumberingAfterBreak="0">
    <w:nsid w:val="78331B5A"/>
    <w:multiLevelType w:val="hybridMultilevel"/>
    <w:tmpl w:val="083A00DE"/>
    <w:lvl w:ilvl="0" w:tplc="C48E000A">
      <w:start w:val="1"/>
      <w:numFmt w:val="bullet"/>
      <w:lvlText w:val="o"/>
      <w:lvlJc w:val="left"/>
      <w:pPr>
        <w:tabs>
          <w:tab w:val="num" w:pos="720"/>
        </w:tabs>
        <w:ind w:left="720" w:hanging="360"/>
      </w:pPr>
      <w:rPr>
        <w:rFonts w:ascii="Courier New" w:hAnsi="Courier New" w:hint="default"/>
      </w:rPr>
    </w:lvl>
    <w:lvl w:ilvl="1" w:tplc="E57C6B7E">
      <w:start w:val="1"/>
      <w:numFmt w:val="bullet"/>
      <w:lvlText w:val="o"/>
      <w:lvlJc w:val="left"/>
      <w:pPr>
        <w:tabs>
          <w:tab w:val="num" w:pos="1440"/>
        </w:tabs>
        <w:ind w:left="1440" w:hanging="360"/>
      </w:pPr>
      <w:rPr>
        <w:rFonts w:ascii="Courier New" w:hAnsi="Courier New" w:hint="default"/>
      </w:rPr>
    </w:lvl>
    <w:lvl w:ilvl="2" w:tplc="2C8EA5BC" w:tentative="1">
      <w:start w:val="1"/>
      <w:numFmt w:val="bullet"/>
      <w:lvlText w:val="o"/>
      <w:lvlJc w:val="left"/>
      <w:pPr>
        <w:tabs>
          <w:tab w:val="num" w:pos="2160"/>
        </w:tabs>
        <w:ind w:left="2160" w:hanging="360"/>
      </w:pPr>
      <w:rPr>
        <w:rFonts w:ascii="Courier New" w:hAnsi="Courier New" w:hint="default"/>
      </w:rPr>
    </w:lvl>
    <w:lvl w:ilvl="3" w:tplc="91643A14" w:tentative="1">
      <w:start w:val="1"/>
      <w:numFmt w:val="bullet"/>
      <w:lvlText w:val="o"/>
      <w:lvlJc w:val="left"/>
      <w:pPr>
        <w:tabs>
          <w:tab w:val="num" w:pos="2880"/>
        </w:tabs>
        <w:ind w:left="2880" w:hanging="360"/>
      </w:pPr>
      <w:rPr>
        <w:rFonts w:ascii="Courier New" w:hAnsi="Courier New" w:hint="default"/>
      </w:rPr>
    </w:lvl>
    <w:lvl w:ilvl="4" w:tplc="97FAD0DC" w:tentative="1">
      <w:start w:val="1"/>
      <w:numFmt w:val="bullet"/>
      <w:lvlText w:val="o"/>
      <w:lvlJc w:val="left"/>
      <w:pPr>
        <w:tabs>
          <w:tab w:val="num" w:pos="3600"/>
        </w:tabs>
        <w:ind w:left="3600" w:hanging="360"/>
      </w:pPr>
      <w:rPr>
        <w:rFonts w:ascii="Courier New" w:hAnsi="Courier New" w:hint="default"/>
      </w:rPr>
    </w:lvl>
    <w:lvl w:ilvl="5" w:tplc="166ECB6E" w:tentative="1">
      <w:start w:val="1"/>
      <w:numFmt w:val="bullet"/>
      <w:lvlText w:val="o"/>
      <w:lvlJc w:val="left"/>
      <w:pPr>
        <w:tabs>
          <w:tab w:val="num" w:pos="4320"/>
        </w:tabs>
        <w:ind w:left="4320" w:hanging="360"/>
      </w:pPr>
      <w:rPr>
        <w:rFonts w:ascii="Courier New" w:hAnsi="Courier New" w:hint="default"/>
      </w:rPr>
    </w:lvl>
    <w:lvl w:ilvl="6" w:tplc="DB3E7DEA" w:tentative="1">
      <w:start w:val="1"/>
      <w:numFmt w:val="bullet"/>
      <w:lvlText w:val="o"/>
      <w:lvlJc w:val="left"/>
      <w:pPr>
        <w:tabs>
          <w:tab w:val="num" w:pos="5040"/>
        </w:tabs>
        <w:ind w:left="5040" w:hanging="360"/>
      </w:pPr>
      <w:rPr>
        <w:rFonts w:ascii="Courier New" w:hAnsi="Courier New" w:hint="default"/>
      </w:rPr>
    </w:lvl>
    <w:lvl w:ilvl="7" w:tplc="E0641AB4" w:tentative="1">
      <w:start w:val="1"/>
      <w:numFmt w:val="bullet"/>
      <w:lvlText w:val="o"/>
      <w:lvlJc w:val="left"/>
      <w:pPr>
        <w:tabs>
          <w:tab w:val="num" w:pos="5760"/>
        </w:tabs>
        <w:ind w:left="5760" w:hanging="360"/>
      </w:pPr>
      <w:rPr>
        <w:rFonts w:ascii="Courier New" w:hAnsi="Courier New" w:hint="default"/>
      </w:rPr>
    </w:lvl>
    <w:lvl w:ilvl="8" w:tplc="E63E6744" w:tentative="1">
      <w:start w:val="1"/>
      <w:numFmt w:val="bullet"/>
      <w:lvlText w:val="o"/>
      <w:lvlJc w:val="left"/>
      <w:pPr>
        <w:tabs>
          <w:tab w:val="num" w:pos="6480"/>
        </w:tabs>
        <w:ind w:left="6480" w:hanging="360"/>
      </w:pPr>
      <w:rPr>
        <w:rFonts w:ascii="Courier New" w:hAnsi="Courier New" w:hint="default"/>
      </w:rPr>
    </w:lvl>
  </w:abstractNum>
  <w:abstractNum w:abstractNumId="34" w15:restartNumberingAfterBreak="0">
    <w:nsid w:val="7FEB2BA9"/>
    <w:multiLevelType w:val="hybridMultilevel"/>
    <w:tmpl w:val="D49623A8"/>
    <w:lvl w:ilvl="0" w:tplc="3FC4C64E">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0"/>
  </w:num>
  <w:num w:numId="3">
    <w:abstractNumId w:val="31"/>
  </w:num>
  <w:num w:numId="4">
    <w:abstractNumId w:val="26"/>
  </w:num>
  <w:num w:numId="5">
    <w:abstractNumId w:val="28"/>
  </w:num>
  <w:num w:numId="6">
    <w:abstractNumId w:val="2"/>
  </w:num>
  <w:num w:numId="7">
    <w:abstractNumId w:val="12"/>
  </w:num>
  <w:num w:numId="8">
    <w:abstractNumId w:val="8"/>
  </w:num>
  <w:num w:numId="9">
    <w:abstractNumId w:val="27"/>
  </w:num>
  <w:num w:numId="10">
    <w:abstractNumId w:val="24"/>
  </w:num>
  <w:num w:numId="11">
    <w:abstractNumId w:val="33"/>
  </w:num>
  <w:num w:numId="12">
    <w:abstractNumId w:val="14"/>
  </w:num>
  <w:num w:numId="13">
    <w:abstractNumId w:val="25"/>
  </w:num>
  <w:num w:numId="14">
    <w:abstractNumId w:val="15"/>
  </w:num>
  <w:num w:numId="15">
    <w:abstractNumId w:val="32"/>
  </w:num>
  <w:num w:numId="16">
    <w:abstractNumId w:val="4"/>
  </w:num>
  <w:num w:numId="17">
    <w:abstractNumId w:val="5"/>
  </w:num>
  <w:num w:numId="18">
    <w:abstractNumId w:val="23"/>
  </w:num>
  <w:num w:numId="19">
    <w:abstractNumId w:val="3"/>
  </w:num>
  <w:num w:numId="20">
    <w:abstractNumId w:val="29"/>
  </w:num>
  <w:num w:numId="21">
    <w:abstractNumId w:val="18"/>
  </w:num>
  <w:num w:numId="22">
    <w:abstractNumId w:val="6"/>
  </w:num>
  <w:num w:numId="23">
    <w:abstractNumId w:val="17"/>
  </w:num>
  <w:num w:numId="24">
    <w:abstractNumId w:val="16"/>
  </w:num>
  <w:num w:numId="25">
    <w:abstractNumId w:val="13"/>
  </w:num>
  <w:num w:numId="26">
    <w:abstractNumId w:val="19"/>
  </w:num>
  <w:num w:numId="27">
    <w:abstractNumId w:val="21"/>
  </w:num>
  <w:num w:numId="28">
    <w:abstractNumId w:val="11"/>
  </w:num>
  <w:num w:numId="29">
    <w:abstractNumId w:val="22"/>
  </w:num>
  <w:num w:numId="30">
    <w:abstractNumId w:val="10"/>
  </w:num>
  <w:num w:numId="31">
    <w:abstractNumId w:val="1"/>
  </w:num>
  <w:num w:numId="32">
    <w:abstractNumId w:val="7"/>
  </w:num>
  <w:num w:numId="33">
    <w:abstractNumId w:val="9"/>
  </w:num>
  <w:num w:numId="34">
    <w:abstractNumId w:val="3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D1"/>
    <w:rsid w:val="000205B4"/>
    <w:rsid w:val="000579B2"/>
    <w:rsid w:val="00072B6C"/>
    <w:rsid w:val="0014394F"/>
    <w:rsid w:val="00186CD5"/>
    <w:rsid w:val="001F6AB9"/>
    <w:rsid w:val="0025104A"/>
    <w:rsid w:val="00273F0A"/>
    <w:rsid w:val="002A03CC"/>
    <w:rsid w:val="002D37B1"/>
    <w:rsid w:val="003031D9"/>
    <w:rsid w:val="0033287C"/>
    <w:rsid w:val="0034566B"/>
    <w:rsid w:val="003575B4"/>
    <w:rsid w:val="00470594"/>
    <w:rsid w:val="00526625"/>
    <w:rsid w:val="00554F14"/>
    <w:rsid w:val="005B050B"/>
    <w:rsid w:val="005D6669"/>
    <w:rsid w:val="0061450D"/>
    <w:rsid w:val="006754D0"/>
    <w:rsid w:val="00734F1B"/>
    <w:rsid w:val="007966B9"/>
    <w:rsid w:val="007C1278"/>
    <w:rsid w:val="008E5045"/>
    <w:rsid w:val="008F0DC7"/>
    <w:rsid w:val="00936547"/>
    <w:rsid w:val="009E7C8D"/>
    <w:rsid w:val="00A80F10"/>
    <w:rsid w:val="00B432ED"/>
    <w:rsid w:val="00B7265B"/>
    <w:rsid w:val="00BC63D7"/>
    <w:rsid w:val="00BF02A8"/>
    <w:rsid w:val="00C32D89"/>
    <w:rsid w:val="00C331EA"/>
    <w:rsid w:val="00C80EFE"/>
    <w:rsid w:val="00CE47D1"/>
    <w:rsid w:val="00D34273"/>
    <w:rsid w:val="00D806C2"/>
    <w:rsid w:val="00DC36D8"/>
    <w:rsid w:val="00E01806"/>
    <w:rsid w:val="00E2356D"/>
    <w:rsid w:val="00E365BE"/>
    <w:rsid w:val="00E71160"/>
    <w:rsid w:val="00E77183"/>
    <w:rsid w:val="00EE0E2B"/>
    <w:rsid w:val="00F3500B"/>
    <w:rsid w:val="00FC530B"/>
    <w:rsid w:val="00FD1B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0CF41E"/>
  <w15:chartTrackingRefBased/>
  <w15:docId w15:val="{D50D74A9-38AB-4799-8ADD-56876674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47D1"/>
    <w:pPr>
      <w:tabs>
        <w:tab w:val="center" w:pos="4536"/>
        <w:tab w:val="right" w:pos="9072"/>
      </w:tabs>
      <w:spacing w:after="0" w:line="240" w:lineRule="auto"/>
    </w:pPr>
  </w:style>
  <w:style w:type="character" w:customStyle="1" w:styleId="En-tteCar">
    <w:name w:val="En-tête Car"/>
    <w:basedOn w:val="Policepardfaut"/>
    <w:link w:val="En-tte"/>
    <w:uiPriority w:val="99"/>
    <w:rsid w:val="00CE47D1"/>
  </w:style>
  <w:style w:type="paragraph" w:styleId="Pieddepage">
    <w:name w:val="footer"/>
    <w:basedOn w:val="Normal"/>
    <w:link w:val="PieddepageCar"/>
    <w:uiPriority w:val="99"/>
    <w:unhideWhenUsed/>
    <w:rsid w:val="00CE47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7D1"/>
  </w:style>
  <w:style w:type="paragraph" w:styleId="Paragraphedeliste">
    <w:name w:val="List Paragraph"/>
    <w:basedOn w:val="Normal"/>
    <w:uiPriority w:val="34"/>
    <w:qFormat/>
    <w:rsid w:val="00CE47D1"/>
    <w:pPr>
      <w:ind w:left="720"/>
      <w:contextualSpacing/>
    </w:pPr>
  </w:style>
  <w:style w:type="character" w:styleId="Lienhypertexte">
    <w:name w:val="Hyperlink"/>
    <w:basedOn w:val="Policepardfaut"/>
    <w:uiPriority w:val="99"/>
    <w:unhideWhenUsed/>
    <w:rsid w:val="008F0DC7"/>
    <w:rPr>
      <w:color w:val="0000FF"/>
      <w:u w:val="single"/>
    </w:rPr>
  </w:style>
  <w:style w:type="table" w:styleId="Grilledutableau">
    <w:name w:val="Table Grid"/>
    <w:basedOn w:val="TableauNormal"/>
    <w:uiPriority w:val="39"/>
    <w:rsid w:val="0027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FC53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668506">
      <w:bodyDiv w:val="1"/>
      <w:marLeft w:val="0"/>
      <w:marRight w:val="0"/>
      <w:marTop w:val="0"/>
      <w:marBottom w:val="0"/>
      <w:divBdr>
        <w:top w:val="none" w:sz="0" w:space="0" w:color="auto"/>
        <w:left w:val="none" w:sz="0" w:space="0" w:color="auto"/>
        <w:bottom w:val="none" w:sz="0" w:space="0" w:color="auto"/>
        <w:right w:val="none" w:sz="0" w:space="0" w:color="auto"/>
      </w:divBdr>
    </w:div>
    <w:div w:id="205353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5</Pages>
  <Words>1394</Words>
  <Characters>7672</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 Marjorie</dc:creator>
  <cp:keywords/>
  <dc:description/>
  <cp:lastModifiedBy>BLIN, Marjorie</cp:lastModifiedBy>
  <cp:revision>30</cp:revision>
  <dcterms:created xsi:type="dcterms:W3CDTF">2020-10-16T12:52:00Z</dcterms:created>
  <dcterms:modified xsi:type="dcterms:W3CDTF">2022-01-17T07:58:00Z</dcterms:modified>
</cp:coreProperties>
</file>