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DD5AEE" w:rsidP="00E77183">
            <w:r>
              <w:rPr>
                <w:sz w:val="24"/>
              </w:rPr>
              <w:t>HVC</w:t>
            </w:r>
            <w:r w:rsidR="00955DDA">
              <w:rPr>
                <w:sz w:val="24"/>
              </w:rPr>
              <w:t>VL/DEPOT/AUTORISATION/</w:t>
            </w:r>
            <w:r>
              <w:rPr>
                <w:sz w:val="24"/>
              </w:rPr>
              <w:t>DELIVRANCE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5D012B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5D012B">
              <w:rPr>
                <w:b w:val="0"/>
                <w:sz w:val="18"/>
              </w:rPr>
              <w:t>O1/01/2022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6C0E97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 w:rsidRPr="005D012B">
              <w:rPr>
                <w:b w:val="0"/>
                <w:sz w:val="18"/>
              </w:rPr>
              <w:t>0</w:t>
            </w:r>
            <w:r w:rsidR="006C0E97" w:rsidRPr="005D012B">
              <w:rPr>
                <w:b w:val="0"/>
                <w:sz w:val="18"/>
              </w:rPr>
              <w:t>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DD5AEE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Modalités de délivrance des PSL par le dépôt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DD5AEE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Modalités de délivrance des PSL par le dépôt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DD5AEE">
      <w:r>
        <w:t xml:space="preserve">Défini les modalités </w:t>
      </w:r>
      <w:r w:rsidR="00577DCF">
        <w:t>d</w:t>
      </w:r>
      <w:r>
        <w:t>e délivrance des PSL par le dépôt de sang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5D012B" w:rsidRPr="00577DCF" w:rsidRDefault="005D012B" w:rsidP="005D012B">
      <w:pPr>
        <w:pStyle w:val="Paragraphedeliste"/>
        <w:numPr>
          <w:ilvl w:val="0"/>
          <w:numId w:val="12"/>
        </w:numPr>
        <w:spacing w:after="0" w:line="276" w:lineRule="auto"/>
        <w:ind w:left="567"/>
        <w:rPr>
          <w:rFonts w:cstheme="minorHAnsi"/>
          <w:sz w:val="24"/>
        </w:rPr>
      </w:pPr>
      <w:r w:rsidRPr="00577DCF">
        <w:rPr>
          <w:rFonts w:eastAsia="Times New Roman" w:cs="Arial"/>
          <w:szCs w:val="24"/>
          <w:lang w:eastAsia="fr-FR"/>
        </w:rPr>
        <w:t>Instruction N° DGS/PP4/DGOS</w:t>
      </w:r>
      <w:bookmarkStart w:id="0" w:name="_GoBack"/>
      <w:bookmarkEnd w:id="0"/>
      <w:r w:rsidRPr="00577DCF">
        <w:rPr>
          <w:rFonts w:eastAsia="Times New Roman" w:cs="Arial"/>
          <w:szCs w:val="24"/>
          <w:lang w:eastAsia="fr-FR"/>
        </w:rPr>
        <w:t>/PF2/2021/230 du 16 novembre 2021 concernant la réalisation de l’acte transfusionnel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DD5AEE" w:rsidRDefault="00DD5AEE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gramStart"/>
            <w:r w:rsidRPr="00F72E1E">
              <w:rPr>
                <w:sz w:val="18"/>
              </w:rPr>
              <w:t>Dr.SAPEY</w:t>
            </w:r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rFonts w:cs="Arial"/>
          <w:b/>
          <w:i/>
          <w:sz w:val="24"/>
          <w:szCs w:val="20"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>Modalités de prescription et de délivrance pour patient avec RAI négative et pour patient avec RAI positive</w:t>
      </w:r>
    </w:p>
    <w:p w:rsidR="00DD5AEE" w:rsidRPr="00CD202D" w:rsidRDefault="00DD5AEE" w:rsidP="00DD5AEE">
      <w:pPr>
        <w:pStyle w:val="Paragraphedeliste"/>
        <w:tabs>
          <w:tab w:val="left" w:pos="3510"/>
          <w:tab w:val="left" w:leader="dot" w:pos="5400"/>
        </w:tabs>
        <w:ind w:left="567" w:right="572"/>
        <w:jc w:val="both"/>
        <w:rPr>
          <w:rFonts w:cs="Arial"/>
          <w:i/>
          <w:color w:val="7030A0"/>
          <w:sz w:val="28"/>
          <w:szCs w:val="20"/>
          <w:u w:val="single"/>
        </w:rPr>
      </w:pPr>
    </w:p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rFonts w:cs="Arial"/>
          <w:b/>
          <w:i/>
          <w:sz w:val="24"/>
          <w:szCs w:val="20"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 xml:space="preserve">Modalités de prescription et de délivrance selon les 3 niveaux d’urgence (urgence relative, urgence vitale et urgence vitale </w:t>
      </w:r>
      <w:r>
        <w:rPr>
          <w:rFonts w:cs="Arial"/>
          <w:b/>
          <w:i/>
          <w:sz w:val="24"/>
          <w:szCs w:val="20"/>
          <w:u w:val="single"/>
        </w:rPr>
        <w:t>immédiate)</w:t>
      </w:r>
    </w:p>
    <w:p w:rsidR="00DD5AEE" w:rsidRPr="00CD202D" w:rsidRDefault="00DD5AEE" w:rsidP="00DD5AEE">
      <w:pPr>
        <w:pStyle w:val="Paragraphedeliste"/>
        <w:tabs>
          <w:tab w:val="left" w:pos="3510"/>
          <w:tab w:val="left" w:leader="dot" w:pos="5400"/>
        </w:tabs>
        <w:ind w:left="567" w:right="572" w:hanging="425"/>
        <w:jc w:val="both"/>
        <w:rPr>
          <w:rFonts w:cs="Arial"/>
          <w:i/>
          <w:color w:val="7030A0"/>
          <w:sz w:val="28"/>
          <w:szCs w:val="20"/>
          <w:u w:val="single"/>
        </w:rPr>
      </w:pPr>
    </w:p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rFonts w:cs="Arial"/>
          <w:b/>
          <w:i/>
          <w:sz w:val="24"/>
          <w:szCs w:val="20"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>Modalités de contrôle de la concordance des documents et des PSL en rapport avec la délivrance</w:t>
      </w:r>
    </w:p>
    <w:p w:rsidR="00DD5AEE" w:rsidRPr="00CD202D" w:rsidRDefault="00DD5AEE" w:rsidP="00DD5AEE">
      <w:pPr>
        <w:pStyle w:val="Paragraphedeliste"/>
        <w:tabs>
          <w:tab w:val="left" w:pos="3510"/>
          <w:tab w:val="left" w:leader="dot" w:pos="5400"/>
        </w:tabs>
        <w:ind w:left="567" w:right="572" w:hanging="425"/>
        <w:jc w:val="both"/>
        <w:rPr>
          <w:rFonts w:cs="Arial"/>
          <w:i/>
          <w:color w:val="7030A0"/>
          <w:sz w:val="28"/>
          <w:szCs w:val="20"/>
          <w:u w:val="single"/>
        </w:rPr>
      </w:pPr>
    </w:p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rFonts w:cs="Arial"/>
          <w:b/>
          <w:i/>
          <w:sz w:val="24"/>
          <w:szCs w:val="20"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>Modalités de remise des PSL au coursier ou à l’IDE</w:t>
      </w:r>
    </w:p>
    <w:p w:rsidR="00DD5AEE" w:rsidRPr="00CD202D" w:rsidRDefault="00DD5AEE" w:rsidP="00DD5AEE">
      <w:pPr>
        <w:pStyle w:val="Paragraphedeliste"/>
        <w:tabs>
          <w:tab w:val="left" w:pos="3510"/>
          <w:tab w:val="left" w:leader="dot" w:pos="5400"/>
        </w:tabs>
        <w:ind w:left="567" w:right="572" w:hanging="425"/>
        <w:jc w:val="both"/>
        <w:rPr>
          <w:rFonts w:cs="Arial"/>
          <w:i/>
          <w:color w:val="7030A0"/>
          <w:sz w:val="28"/>
          <w:szCs w:val="20"/>
          <w:u w:val="single"/>
        </w:rPr>
      </w:pPr>
    </w:p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rFonts w:cs="Arial"/>
          <w:b/>
          <w:i/>
          <w:sz w:val="24"/>
          <w:szCs w:val="20"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>Modalités de prise en charge en cas de prescription non conforme</w:t>
      </w:r>
    </w:p>
    <w:p w:rsidR="00DD5AEE" w:rsidRPr="00CD202D" w:rsidRDefault="00DD5AEE" w:rsidP="00DD5AEE">
      <w:pPr>
        <w:pStyle w:val="Paragraphedeliste"/>
        <w:tabs>
          <w:tab w:val="left" w:pos="3510"/>
          <w:tab w:val="left" w:leader="dot" w:pos="5400"/>
        </w:tabs>
        <w:ind w:left="567" w:right="572" w:hanging="425"/>
        <w:jc w:val="both"/>
        <w:rPr>
          <w:rFonts w:cs="Arial"/>
          <w:i/>
          <w:color w:val="7030A0"/>
          <w:sz w:val="28"/>
          <w:szCs w:val="20"/>
          <w:u w:val="single"/>
        </w:rPr>
      </w:pPr>
    </w:p>
    <w:p w:rsidR="00DD5AEE" w:rsidRPr="00DD5AEE" w:rsidRDefault="00DD5AEE" w:rsidP="00DD5AEE">
      <w:pPr>
        <w:pStyle w:val="Paragraphedeliste"/>
        <w:tabs>
          <w:tab w:val="left" w:pos="3510"/>
          <w:tab w:val="left" w:leader="dot" w:pos="5400"/>
        </w:tabs>
        <w:spacing w:after="200" w:line="276" w:lineRule="auto"/>
        <w:ind w:left="0" w:right="572"/>
        <w:jc w:val="both"/>
        <w:rPr>
          <w:b/>
          <w:bCs/>
          <w:i/>
          <w:u w:val="single"/>
        </w:rPr>
      </w:pPr>
      <w:r w:rsidRPr="00DD5AEE">
        <w:rPr>
          <w:rFonts w:cs="Arial"/>
          <w:b/>
          <w:i/>
          <w:sz w:val="24"/>
          <w:szCs w:val="20"/>
          <w:u w:val="single"/>
        </w:rPr>
        <w:t>Modalités de la traçabilité des PSL conservés et délivrés par le dépôt</w:t>
      </w:r>
    </w:p>
    <w:p w:rsidR="00DD5AEE" w:rsidRDefault="00DD5AEE"/>
    <w:sectPr w:rsidR="00DD5AEE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F" w:rsidRDefault="0029033F" w:rsidP="00CE47D1">
      <w:pPr>
        <w:spacing w:after="0" w:line="240" w:lineRule="auto"/>
      </w:pPr>
      <w:r>
        <w:separator/>
      </w:r>
    </w:p>
  </w:endnote>
  <w:end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955DDA">
      <w:rPr>
        <w:rFonts w:ascii="Arial" w:hAnsi="Arial" w:cs="Arial"/>
        <w:i/>
        <w:color w:val="000080"/>
        <w:sz w:val="12"/>
        <w:szCs w:val="16"/>
      </w:rPr>
      <w:t>DEPOT/AUTORISATION/</w:t>
    </w:r>
    <w:r w:rsidR="00DD5AEE">
      <w:rPr>
        <w:rFonts w:ascii="Arial" w:hAnsi="Arial" w:cs="Arial"/>
        <w:i/>
        <w:color w:val="000080"/>
        <w:sz w:val="12"/>
        <w:szCs w:val="16"/>
      </w:rPr>
      <w:t>DELIVRANCE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F" w:rsidRDefault="0029033F" w:rsidP="00CE47D1">
      <w:pPr>
        <w:spacing w:after="0" w:line="240" w:lineRule="auto"/>
      </w:pPr>
      <w:r>
        <w:separator/>
      </w:r>
    </w:p>
  </w:footnote>
  <w:foot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D691F"/>
    <w:multiLevelType w:val="hybridMultilevel"/>
    <w:tmpl w:val="7402F474"/>
    <w:lvl w:ilvl="0" w:tplc="B060C358">
      <w:start w:val="1"/>
      <w:numFmt w:val="decimal"/>
      <w:lvlText w:val="%1)"/>
      <w:lvlJc w:val="left"/>
      <w:pPr>
        <w:ind w:left="540" w:hanging="360"/>
      </w:pPr>
      <w:rPr>
        <w:rFonts w:hint="default"/>
        <w:b/>
        <w:i/>
        <w:color w:val="BF8F00" w:themeColor="accent4" w:themeShade="BF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1290"/>
    <w:multiLevelType w:val="hybridMultilevel"/>
    <w:tmpl w:val="F9F24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37A2"/>
    <w:multiLevelType w:val="hybridMultilevel"/>
    <w:tmpl w:val="DB388A2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7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470594"/>
    <w:rsid w:val="00526625"/>
    <w:rsid w:val="00554F14"/>
    <w:rsid w:val="00577DCF"/>
    <w:rsid w:val="005B050B"/>
    <w:rsid w:val="005D012B"/>
    <w:rsid w:val="0061450D"/>
    <w:rsid w:val="006754D0"/>
    <w:rsid w:val="006C0E97"/>
    <w:rsid w:val="00734F1B"/>
    <w:rsid w:val="007C1278"/>
    <w:rsid w:val="008F0DC7"/>
    <w:rsid w:val="00936547"/>
    <w:rsid w:val="00955DDA"/>
    <w:rsid w:val="009E7C8D"/>
    <w:rsid w:val="00A80F10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DD5AEE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882DE5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25</cp:revision>
  <dcterms:created xsi:type="dcterms:W3CDTF">2020-10-16T12:52:00Z</dcterms:created>
  <dcterms:modified xsi:type="dcterms:W3CDTF">2022-01-17T08:11:00Z</dcterms:modified>
</cp:coreProperties>
</file>