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auGrille4-Accentuation1"/>
        <w:tblpPr w:leftFromText="141" w:rightFromText="141" w:vertAnchor="text" w:horzAnchor="margin" w:tblpY="760"/>
        <w:tblW w:w="0" w:type="auto"/>
        <w:tblLook w:val="04A0" w:firstRow="1" w:lastRow="0" w:firstColumn="1" w:lastColumn="0" w:noHBand="0" w:noVBand="1"/>
      </w:tblPr>
      <w:tblGrid>
        <w:gridCol w:w="9062"/>
      </w:tblGrid>
      <w:tr w:rsidR="00273F0A" w:rsidTr="00E77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Default="006644B2" w:rsidP="00E77183">
            <w:r>
              <w:rPr>
                <w:sz w:val="24"/>
              </w:rPr>
              <w:t>HVCVL/DEPOT/AUTORISATION/ARCHIVAGE</w:t>
            </w:r>
          </w:p>
        </w:tc>
      </w:tr>
      <w:tr w:rsidR="00273F0A"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rédaction : </w:t>
            </w:r>
            <w:r w:rsidR="00554F14">
              <w:rPr>
                <w:b w:val="0"/>
                <w:sz w:val="18"/>
              </w:rPr>
              <w:t>07/2017</w:t>
            </w:r>
          </w:p>
        </w:tc>
      </w:tr>
      <w:tr w:rsidR="00273F0A" w:rsidTr="00E77183">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861264">
            <w:pPr>
              <w:rPr>
                <w:sz w:val="18"/>
              </w:rPr>
            </w:pPr>
            <w:r w:rsidRPr="00B432ED">
              <w:rPr>
                <w:sz w:val="18"/>
              </w:rPr>
              <w:t xml:space="preserve">Date de diffusion : </w:t>
            </w:r>
            <w:r w:rsidR="00861264">
              <w:rPr>
                <w:b w:val="0"/>
                <w:sz w:val="18"/>
              </w:rPr>
              <w:t>01/01/2022</w:t>
            </w:r>
          </w:p>
        </w:tc>
      </w:tr>
      <w:tr w:rsidR="00FC530B"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C530B" w:rsidRPr="00B432ED" w:rsidRDefault="00FC530B" w:rsidP="00861264">
            <w:pPr>
              <w:rPr>
                <w:sz w:val="18"/>
              </w:rPr>
            </w:pPr>
            <w:r w:rsidRPr="00B432ED">
              <w:rPr>
                <w:sz w:val="18"/>
              </w:rPr>
              <w:t xml:space="preserve">Version : </w:t>
            </w:r>
            <w:r w:rsidR="00861264">
              <w:rPr>
                <w:b w:val="0"/>
                <w:sz w:val="18"/>
              </w:rPr>
              <w:t>05</w:t>
            </w:r>
          </w:p>
        </w:tc>
      </w:tr>
    </w:tbl>
    <w:p w:rsidR="00E77183" w:rsidRDefault="00E77183"/>
    <w:p w:rsidR="00E77183" w:rsidRDefault="00E77183"/>
    <w:p w:rsidR="00470594" w:rsidRDefault="00470594"/>
    <w:p w:rsidR="00470594" w:rsidRDefault="00E77183">
      <w:r>
        <w:rPr>
          <w:noProof/>
          <w:lang w:eastAsia="fr-F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104671</wp:posOffset>
                </wp:positionV>
                <wp:extent cx="5745167" cy="292905"/>
                <wp:effectExtent l="0" t="0" r="27305" b="12065"/>
                <wp:wrapNone/>
                <wp:docPr id="3" name="Rectangle 3"/>
                <wp:cNvGraphicFramePr/>
                <a:graphic xmlns:a="http://schemas.openxmlformats.org/drawingml/2006/main">
                  <a:graphicData uri="http://schemas.microsoft.com/office/word/2010/wordprocessingShape">
                    <wps:wsp>
                      <wps:cNvSpPr/>
                      <wps:spPr>
                        <a:xfrm>
                          <a:off x="0" y="0"/>
                          <a:ext cx="5745167" cy="2929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530B" w:rsidRPr="00FC530B" w:rsidRDefault="006644B2" w:rsidP="00FC530B">
                            <w:pPr>
                              <w:rPr>
                                <w:b/>
                                <w:sz w:val="28"/>
                              </w:rPr>
                            </w:pPr>
                            <w:r>
                              <w:rPr>
                                <w:b/>
                                <w:sz w:val="28"/>
                              </w:rPr>
                              <w:t>Archivage des dossiers transfusionnels</w:t>
                            </w:r>
                            <w:r w:rsidR="00FC530B" w:rsidRPr="00FC530B">
                              <w:rPr>
                                <w:b/>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0;margin-top:8.25pt;width:452.4pt;height:23.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" fillcolor="#5b9bd5 [3204]" strokecolor="#1f4d78 [1604]" strokeweight="1pt">
                <v:textbox>
                  <w:txbxContent>
                    <w:p w:rsidR="00FC530B" w:rsidRPr="00FC530B" w:rsidRDefault="006644B2" w:rsidP="00FC530B">
                      <w:pPr>
                        <w:rPr>
                          <w:b/>
                          <w:sz w:val="28"/>
                        </w:rPr>
                      </w:pPr>
                      <w:r>
                        <w:rPr>
                          <w:b/>
                          <w:sz w:val="28"/>
                        </w:rPr>
                        <w:t>Archivage des dossiers transfusionnels</w:t>
                      </w:r>
                      <w:r w:rsidR="00FC530B" w:rsidRPr="00FC530B">
                        <w:rPr>
                          <w:b/>
                          <w:sz w:val="28"/>
                        </w:rPr>
                        <w:t xml:space="preserve"> </w:t>
                      </w:r>
                    </w:p>
                  </w:txbxContent>
                </v:textbox>
                <w10:wrap anchorx="margin"/>
              </v:rect>
            </w:pict>
          </mc:Fallback>
        </mc:AlternateContent>
      </w:r>
    </w:p>
    <w:p w:rsidR="00470594" w:rsidRDefault="00470594"/>
    <w:p w:rsidR="00470594" w:rsidRPr="00E77183" w:rsidRDefault="00E77183">
      <w:pPr>
        <w:rPr>
          <w:b/>
          <w:i/>
        </w:rPr>
      </w:pPr>
      <w:r w:rsidRPr="00E77183">
        <w:rPr>
          <w:b/>
          <w:i/>
          <w:u w:val="single"/>
        </w:rPr>
        <w:t>Objectifs</w:t>
      </w:r>
      <w:r w:rsidRPr="00E77183">
        <w:rPr>
          <w:b/>
          <w:i/>
        </w:rPr>
        <w:t> :</w:t>
      </w:r>
    </w:p>
    <w:p w:rsidR="006644B2" w:rsidRPr="00DF5C3A" w:rsidRDefault="006644B2" w:rsidP="006644B2">
      <w:pPr>
        <w:pStyle w:val="Paragraphedeliste"/>
        <w:numPr>
          <w:ilvl w:val="0"/>
          <w:numId w:val="11"/>
        </w:numPr>
        <w:spacing w:after="200" w:line="276" w:lineRule="auto"/>
        <w:ind w:left="567"/>
        <w:rPr>
          <w:rFonts w:cstheme="minorHAnsi"/>
        </w:rPr>
      </w:pPr>
      <w:r w:rsidRPr="00DF5C3A">
        <w:rPr>
          <w:rFonts w:cstheme="minorHAnsi"/>
        </w:rPr>
        <w:t>Décrire les modalités de vérification des dossiers transfusionnels avant archivage des docu</w:t>
      </w:r>
      <w:r w:rsidR="00A1690B">
        <w:rPr>
          <w:rFonts w:cstheme="minorHAnsi"/>
        </w:rPr>
        <w:t>ments concernant la transfusion</w:t>
      </w:r>
    </w:p>
    <w:p w:rsidR="00250503" w:rsidRDefault="006644B2" w:rsidP="00250503">
      <w:pPr>
        <w:pStyle w:val="Paragraphedeliste"/>
        <w:numPr>
          <w:ilvl w:val="0"/>
          <w:numId w:val="11"/>
        </w:numPr>
        <w:spacing w:after="200" w:line="276" w:lineRule="auto"/>
        <w:ind w:left="567"/>
        <w:rPr>
          <w:rFonts w:cstheme="minorHAnsi"/>
        </w:rPr>
      </w:pPr>
      <w:r w:rsidRPr="00DF5C3A">
        <w:rPr>
          <w:rFonts w:cstheme="minorHAnsi"/>
        </w:rPr>
        <w:t>Décrire les modalités d’archivage des différents éléments du do</w:t>
      </w:r>
      <w:r w:rsidR="00A1690B">
        <w:rPr>
          <w:rFonts w:cstheme="minorHAnsi"/>
        </w:rPr>
        <w:t>ssier transfusionnel du patient</w:t>
      </w:r>
    </w:p>
    <w:p w:rsidR="00A1690B" w:rsidRDefault="00A1690B" w:rsidP="00A1690B">
      <w:pPr>
        <w:pStyle w:val="Paragraphedeliste"/>
        <w:spacing w:after="200" w:line="276" w:lineRule="auto"/>
        <w:ind w:left="567"/>
        <w:rPr>
          <w:rFonts w:cstheme="minorHAnsi"/>
        </w:rPr>
      </w:pPr>
    </w:p>
    <w:p w:rsidR="00E77183" w:rsidRPr="00A1690B" w:rsidRDefault="00E77183" w:rsidP="00A1690B">
      <w:pPr>
        <w:spacing w:after="200" w:line="276" w:lineRule="auto"/>
        <w:rPr>
          <w:rFonts w:cstheme="minorHAnsi"/>
        </w:rPr>
      </w:pPr>
      <w:r w:rsidRPr="00A1690B">
        <w:rPr>
          <w:b/>
          <w:i/>
          <w:u w:val="single"/>
        </w:rPr>
        <w:t>Textes de références</w:t>
      </w:r>
      <w:r>
        <w:t> :</w:t>
      </w:r>
    </w:p>
    <w:p w:rsidR="00F10DBB" w:rsidRPr="00DF5C3A" w:rsidRDefault="00F10DBB" w:rsidP="00F10DBB">
      <w:pPr>
        <w:pStyle w:val="Paragraphedeliste"/>
        <w:numPr>
          <w:ilvl w:val="0"/>
          <w:numId w:val="13"/>
        </w:numPr>
        <w:spacing w:after="200" w:line="276" w:lineRule="auto"/>
        <w:ind w:left="567"/>
        <w:rPr>
          <w:rFonts w:cstheme="minorHAnsi"/>
        </w:rPr>
      </w:pPr>
      <w:r w:rsidRPr="00DF5C3A">
        <w:rPr>
          <w:rFonts w:cstheme="minorHAnsi"/>
        </w:rPr>
        <w:t>Décret du 24/01/1994 sur les règles d’hémovigilance</w:t>
      </w:r>
    </w:p>
    <w:p w:rsidR="00861264" w:rsidRPr="00A1690B" w:rsidRDefault="00861264" w:rsidP="00861264">
      <w:pPr>
        <w:pStyle w:val="Paragraphedeliste"/>
        <w:numPr>
          <w:ilvl w:val="0"/>
          <w:numId w:val="23"/>
        </w:numPr>
        <w:spacing w:after="0" w:line="276" w:lineRule="auto"/>
        <w:ind w:left="567"/>
        <w:rPr>
          <w:rFonts w:cstheme="minorHAnsi"/>
          <w:sz w:val="24"/>
        </w:rPr>
      </w:pPr>
      <w:r w:rsidRPr="00A1690B">
        <w:rPr>
          <w:rFonts w:eastAsia="Times New Roman" w:cs="Arial"/>
          <w:szCs w:val="24"/>
          <w:lang w:eastAsia="fr-FR"/>
        </w:rPr>
        <w:t>Instruction N° DGS/PP4/DGOS/PF2/2021/230 du 16 novembre 2021 concernant la réalisation de l’acte transfusionnel</w:t>
      </w:r>
    </w:p>
    <w:p w:rsidR="00250503" w:rsidRPr="00861264" w:rsidRDefault="00250503" w:rsidP="00250503">
      <w:pPr>
        <w:pStyle w:val="Paragraphedeliste"/>
        <w:numPr>
          <w:ilvl w:val="0"/>
          <w:numId w:val="13"/>
        </w:numPr>
        <w:spacing w:after="200" w:line="276" w:lineRule="auto"/>
        <w:ind w:left="567"/>
        <w:rPr>
          <w:rFonts w:cstheme="minorHAnsi"/>
        </w:rPr>
      </w:pPr>
      <w:r w:rsidRPr="00861264">
        <w:t>Décision du 10/03/2020 définissant les principes de bonnes pratiques transfusionnelles prévus à l’article L.1222-12 du code de sante publique</w:t>
      </w:r>
    </w:p>
    <w:p w:rsidR="00250503" w:rsidRPr="00861264" w:rsidRDefault="00250503" w:rsidP="00250503">
      <w:pPr>
        <w:pStyle w:val="Paragraphedeliste"/>
        <w:numPr>
          <w:ilvl w:val="0"/>
          <w:numId w:val="13"/>
        </w:numPr>
        <w:spacing w:after="200" w:line="276" w:lineRule="auto"/>
        <w:ind w:left="567"/>
        <w:rPr>
          <w:rFonts w:cstheme="minorHAnsi"/>
        </w:rPr>
      </w:pPr>
      <w:r w:rsidRPr="00861264">
        <w:rPr>
          <w:rFonts w:eastAsia="Times New Roman" w:cstheme="minorHAnsi"/>
          <w:kern w:val="36"/>
          <w:lang w:eastAsia="fr-FR"/>
        </w:rPr>
        <w:t>Décret n° 2019-1036 du 8 octobre 2019 modifiant le décret n° 2017-412 du 27 mars 2017 relatif à l'utilisation du numéro d'inscription au répertoire national d'identification des personnes physiques comme identifiant national de santé et les articles R. 1111-8-1 à R. 1111-8-7 du code de la santé publique</w:t>
      </w:r>
    </w:p>
    <w:p w:rsidR="00F10DBB" w:rsidRDefault="00F10DBB"/>
    <w:p w:rsidR="00470594" w:rsidRDefault="00470594"/>
    <w:p w:rsidR="00470594" w:rsidRDefault="00470594"/>
    <w:p w:rsidR="00470594" w:rsidRDefault="00470594"/>
    <w:p w:rsidR="00470594" w:rsidRDefault="00470594"/>
    <w:p w:rsidR="00470594" w:rsidRDefault="00470594"/>
    <w:p w:rsidR="00470594" w:rsidRDefault="00470594"/>
    <w:tbl>
      <w:tblPr>
        <w:tblStyle w:val="TableauGrille4-Accentuation1"/>
        <w:tblpPr w:leftFromText="141" w:rightFromText="141" w:vertAnchor="text" w:horzAnchor="margin" w:tblpY="285"/>
        <w:tblW w:w="0" w:type="auto"/>
        <w:tblLook w:val="04A0" w:firstRow="1" w:lastRow="0" w:firstColumn="1" w:lastColumn="0" w:noHBand="0" w:noVBand="1"/>
      </w:tblPr>
      <w:tblGrid>
        <w:gridCol w:w="2972"/>
        <w:gridCol w:w="3119"/>
        <w:gridCol w:w="2971"/>
      </w:tblGrid>
      <w:tr w:rsidR="00E2356D" w:rsidTr="00554F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E2356D" w:rsidRDefault="00E2356D" w:rsidP="00043281">
            <w:r>
              <w:t>Rédacteur</w:t>
            </w:r>
          </w:p>
        </w:tc>
        <w:tc>
          <w:tcPr>
            <w:tcW w:w="3119"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Vérificateur</w:t>
            </w:r>
          </w:p>
        </w:tc>
        <w:tc>
          <w:tcPr>
            <w:tcW w:w="2971"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Approbateur</w:t>
            </w:r>
          </w:p>
        </w:tc>
      </w:tr>
      <w:tr w:rsidR="00E2356D" w:rsidTr="00F10DBB">
        <w:trPr>
          <w:cnfStyle w:val="000000100000" w:firstRow="0" w:lastRow="0" w:firstColumn="0" w:lastColumn="0" w:oddVBand="0" w:evenVBand="0" w:oddHBand="1" w:evenHBand="0" w:firstRowFirstColumn="0" w:firstRowLastColumn="0" w:lastRowFirstColumn="0" w:lastRowLastColumn="0"/>
          <w:trHeight w:val="1130"/>
        </w:trPr>
        <w:tc>
          <w:tcPr>
            <w:cnfStyle w:val="001000000000" w:firstRow="0" w:lastRow="0" w:firstColumn="1" w:lastColumn="0" w:oddVBand="0" w:evenVBand="0" w:oddHBand="0" w:evenHBand="0" w:firstRowFirstColumn="0" w:firstRowLastColumn="0" w:lastRowFirstColumn="0" w:lastRowLastColumn="0"/>
            <w:tcW w:w="2972" w:type="dxa"/>
          </w:tcPr>
          <w:p w:rsidR="00554F14" w:rsidRPr="00F72E1E" w:rsidRDefault="00554F14" w:rsidP="00554F14">
            <w:pPr>
              <w:rPr>
                <w:b w:val="0"/>
                <w:sz w:val="18"/>
              </w:rPr>
            </w:pPr>
            <w:proofErr w:type="spellStart"/>
            <w:proofErr w:type="gramStart"/>
            <w:r w:rsidRPr="00F72E1E">
              <w:rPr>
                <w:sz w:val="18"/>
              </w:rPr>
              <w:t>Dr.SAPEY</w:t>
            </w:r>
            <w:proofErr w:type="spellEnd"/>
            <w:proofErr w:type="gramEnd"/>
          </w:p>
          <w:p w:rsidR="00554F14" w:rsidRPr="00554F14" w:rsidRDefault="00554F14" w:rsidP="00554F14">
            <w:pPr>
              <w:rPr>
                <w:b w:val="0"/>
                <w:sz w:val="16"/>
              </w:rPr>
            </w:pPr>
            <w:r w:rsidRPr="00554F14">
              <w:rPr>
                <w:b w:val="0"/>
                <w:sz w:val="16"/>
              </w:rPr>
              <w:t>Coordonnateur Régional d’Hémovigilance et de Sécurité Transfusionnelle</w:t>
            </w:r>
          </w:p>
          <w:p w:rsidR="00E2356D" w:rsidRPr="00E77183" w:rsidRDefault="00E2356D" w:rsidP="00043281">
            <w:pPr>
              <w:rPr>
                <w:b w:val="0"/>
                <w:sz w:val="18"/>
              </w:rPr>
            </w:pPr>
          </w:p>
        </w:tc>
        <w:tc>
          <w:tcPr>
            <w:tcW w:w="3119"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Default="00E2356D" w:rsidP="00043281">
            <w:pPr>
              <w:cnfStyle w:val="000000100000" w:firstRow="0" w:lastRow="0" w:firstColumn="0" w:lastColumn="0" w:oddVBand="0" w:evenVBand="0" w:oddHBand="1" w:evenHBand="0" w:firstRowFirstColumn="0" w:firstRowLastColumn="0" w:lastRowFirstColumn="0" w:lastRowLastColumn="0"/>
              <w:rPr>
                <w:sz w:val="16"/>
              </w:rPr>
            </w:pPr>
            <w:r w:rsidRPr="00E77183">
              <w:rPr>
                <w:sz w:val="16"/>
              </w:rPr>
              <w:t>Coordonnateur Régional d’Hémovigilance et de Sécurité Transfusionnelle</w:t>
            </w:r>
          </w:p>
          <w:p w:rsidR="00554F14" w:rsidRPr="00554F14"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sidRPr="00554F14">
              <w:rPr>
                <w:b/>
                <w:sz w:val="18"/>
              </w:rPr>
              <w:t>Mme Marjorie BLIN</w:t>
            </w:r>
          </w:p>
          <w:p w:rsidR="00554F14" w:rsidRPr="00F72E1E"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Pr>
                <w:sz w:val="16"/>
              </w:rPr>
              <w:t>Assistante</w:t>
            </w:r>
          </w:p>
        </w:tc>
        <w:tc>
          <w:tcPr>
            <w:tcW w:w="2971"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Pr="00E77183" w:rsidRDefault="00E2356D" w:rsidP="00043281">
            <w:pPr>
              <w:cnfStyle w:val="000000100000" w:firstRow="0" w:lastRow="0" w:firstColumn="0" w:lastColumn="0" w:oddVBand="0" w:evenVBand="0" w:oddHBand="1" w:evenHBand="0" w:firstRowFirstColumn="0" w:firstRowLastColumn="0" w:lastRowFirstColumn="0" w:lastRowLastColumn="0"/>
              <w:rPr>
                <w:sz w:val="18"/>
              </w:rPr>
            </w:pPr>
            <w:r w:rsidRPr="00E77183">
              <w:rPr>
                <w:sz w:val="16"/>
              </w:rPr>
              <w:t>Coordonnateur Régional d’Hémovigilance et de Sécurité Transfusionnelle</w:t>
            </w:r>
          </w:p>
        </w:tc>
      </w:tr>
    </w:tbl>
    <w:p w:rsidR="00470594" w:rsidRDefault="00470594"/>
    <w:p w:rsidR="00250503" w:rsidRPr="0000582A" w:rsidRDefault="00250503" w:rsidP="00250503">
      <w:pPr>
        <w:contextualSpacing/>
        <w:rPr>
          <w:rFonts w:ascii="Calibri" w:hAnsi="Calibri"/>
          <w:b/>
          <w:i/>
          <w:u w:val="single"/>
        </w:rPr>
      </w:pPr>
      <w:r w:rsidRPr="0000582A">
        <w:rPr>
          <w:rFonts w:ascii="Calibri" w:hAnsi="Calibri"/>
          <w:b/>
          <w:i/>
          <w:sz w:val="24"/>
          <w:u w:val="single"/>
        </w:rPr>
        <w:t>Domaine d’application</w:t>
      </w:r>
    </w:p>
    <w:p w:rsidR="00250503" w:rsidRDefault="00250503" w:rsidP="00250503">
      <w:pPr>
        <w:ind w:left="2127"/>
        <w:rPr>
          <w:rFonts w:ascii="Calibri" w:hAnsi="Calibri"/>
          <w:u w:val="single"/>
        </w:rPr>
      </w:pPr>
    </w:p>
    <w:p w:rsidR="00250503" w:rsidRDefault="00250503" w:rsidP="00250503">
      <w:pPr>
        <w:ind w:left="284"/>
        <w:rPr>
          <w:rFonts w:cstheme="minorHAnsi"/>
          <w:szCs w:val="24"/>
        </w:rPr>
      </w:pPr>
      <w:r w:rsidRPr="00861264">
        <w:rPr>
          <w:rFonts w:cstheme="minorHAnsi"/>
          <w:szCs w:val="24"/>
        </w:rPr>
        <w:t>Dans un ES avec dépôt, cette procédure est appliquée par le responsable du dépôt, le gestionnaire du dépôt et les infirmiers.</w:t>
      </w:r>
      <w:r>
        <w:rPr>
          <w:rFonts w:cstheme="minorHAnsi"/>
          <w:szCs w:val="24"/>
        </w:rPr>
        <w:t xml:space="preserve"> </w:t>
      </w:r>
    </w:p>
    <w:p w:rsidR="00250503" w:rsidRPr="00A61916" w:rsidRDefault="00250503" w:rsidP="00250503">
      <w:pPr>
        <w:ind w:left="284"/>
        <w:rPr>
          <w:rFonts w:cstheme="minorHAnsi"/>
          <w:sz w:val="20"/>
          <w:u w:val="single"/>
        </w:rPr>
      </w:pPr>
    </w:p>
    <w:p w:rsidR="00250503" w:rsidRPr="0000582A" w:rsidRDefault="00250503" w:rsidP="00250503">
      <w:pPr>
        <w:contextualSpacing/>
        <w:rPr>
          <w:rFonts w:ascii="Calibri" w:hAnsi="Calibri"/>
          <w:b/>
          <w:sz w:val="20"/>
        </w:rPr>
      </w:pPr>
      <w:r w:rsidRPr="0000582A">
        <w:rPr>
          <w:rFonts w:ascii="Calibri" w:hAnsi="Calibri"/>
          <w:b/>
          <w:i/>
          <w:sz w:val="24"/>
          <w:u w:val="single"/>
        </w:rPr>
        <w:t>Déroulement</w:t>
      </w:r>
    </w:p>
    <w:p w:rsidR="00250503" w:rsidRPr="0000582A" w:rsidRDefault="00250503" w:rsidP="00250503">
      <w:pPr>
        <w:ind w:left="1560"/>
        <w:contextualSpacing/>
        <w:rPr>
          <w:rFonts w:ascii="Calibri" w:hAnsi="Calibri"/>
        </w:rPr>
      </w:pPr>
      <w:r w:rsidRPr="0000582A">
        <w:rPr>
          <w:rFonts w:ascii="Calibri" w:hAnsi="Calibri"/>
        </w:rPr>
        <w:t xml:space="preserve"> </w:t>
      </w:r>
    </w:p>
    <w:p w:rsidR="00250503" w:rsidRPr="00E50BC3" w:rsidRDefault="00250503" w:rsidP="00250503">
      <w:pPr>
        <w:pStyle w:val="Paragraphedeliste"/>
        <w:numPr>
          <w:ilvl w:val="0"/>
          <w:numId w:val="21"/>
        </w:numPr>
        <w:spacing w:after="200" w:line="276" w:lineRule="auto"/>
        <w:ind w:left="426"/>
        <w:rPr>
          <w:rFonts w:cstheme="minorHAnsi"/>
          <w:szCs w:val="24"/>
        </w:rPr>
      </w:pPr>
      <w:r w:rsidRPr="00E50BC3">
        <w:rPr>
          <w:rFonts w:cstheme="minorHAnsi"/>
          <w:i/>
          <w:szCs w:val="24"/>
          <w:u w:val="single"/>
        </w:rPr>
        <w:t>Préalable à l’archivage</w:t>
      </w:r>
      <w:r w:rsidRPr="00E50BC3">
        <w:rPr>
          <w:rFonts w:cstheme="minorHAnsi"/>
          <w:szCs w:val="24"/>
        </w:rPr>
        <w:t> : vérification du dossier transfusionnel </w:t>
      </w:r>
    </w:p>
    <w:p w:rsidR="00250503" w:rsidRPr="0000582A" w:rsidRDefault="00250503" w:rsidP="00250503">
      <w:pPr>
        <w:spacing w:after="200" w:line="276" w:lineRule="auto"/>
        <w:ind w:left="1068"/>
        <w:contextualSpacing/>
        <w:rPr>
          <w:rFonts w:cstheme="minorHAnsi"/>
          <w:szCs w:val="24"/>
        </w:rPr>
      </w:pPr>
    </w:p>
    <w:p w:rsidR="00250503" w:rsidRPr="00861264" w:rsidRDefault="00250503" w:rsidP="00250503">
      <w:pPr>
        <w:pStyle w:val="Paragraphedeliste"/>
        <w:numPr>
          <w:ilvl w:val="0"/>
          <w:numId w:val="19"/>
        </w:numPr>
        <w:spacing w:after="200" w:line="276" w:lineRule="auto"/>
        <w:ind w:left="993"/>
        <w:rPr>
          <w:rFonts w:cstheme="minorHAnsi"/>
          <w:szCs w:val="24"/>
        </w:rPr>
      </w:pPr>
      <w:r w:rsidRPr="00861264">
        <w:rPr>
          <w:rFonts w:cstheme="minorHAnsi"/>
          <w:szCs w:val="24"/>
        </w:rPr>
        <w:t xml:space="preserve">Identité du patient : </w:t>
      </w:r>
      <w:r w:rsidRPr="00861264">
        <w:rPr>
          <w:rFonts w:cs="Arial"/>
        </w:rPr>
        <w:t>nom de naissance, prénom de naissance,</w:t>
      </w:r>
      <w:r w:rsidRPr="00861264">
        <w:rPr>
          <w:rFonts w:cs="Arial"/>
          <w:b/>
        </w:rPr>
        <w:t xml:space="preserve"> </w:t>
      </w:r>
      <w:r w:rsidRPr="00861264">
        <w:rPr>
          <w:rFonts w:cs="Arial"/>
        </w:rPr>
        <w:t>date de naissance, sexe</w:t>
      </w:r>
      <w:r w:rsidRPr="00861264">
        <w:rPr>
          <w:rFonts w:cs="Arial"/>
          <w:b/>
        </w:rPr>
        <w:t xml:space="preserve"> ou</w:t>
      </w:r>
      <w:r w:rsidRPr="00861264">
        <w:rPr>
          <w:rFonts w:cs="Arial"/>
        </w:rPr>
        <w:t xml:space="preserve"> l’INS</w:t>
      </w:r>
      <w:r w:rsidRPr="00861264">
        <w:rPr>
          <w:rFonts w:cs="Arial"/>
          <w:vertAlign w:val="superscript"/>
        </w:rPr>
        <w:fldChar w:fldCharType="begin"/>
      </w:r>
      <w:r w:rsidRPr="00861264">
        <w:rPr>
          <w:rFonts w:cs="Arial"/>
          <w:vertAlign w:val="superscript"/>
        </w:rPr>
        <w:instrText xml:space="preserve"> NOTEREF _Ref71553670 \h  \* MERGEFORMAT </w:instrText>
      </w:r>
      <w:r w:rsidRPr="00861264">
        <w:rPr>
          <w:rFonts w:cs="Arial"/>
          <w:vertAlign w:val="superscript"/>
        </w:rPr>
      </w:r>
      <w:r w:rsidRPr="00861264">
        <w:rPr>
          <w:rFonts w:cs="Arial"/>
          <w:vertAlign w:val="superscript"/>
        </w:rPr>
        <w:fldChar w:fldCharType="separate"/>
      </w:r>
      <w:r w:rsidRPr="00861264">
        <w:rPr>
          <w:rFonts w:cs="Arial"/>
          <w:vertAlign w:val="superscript"/>
        </w:rPr>
        <w:t>1</w:t>
      </w:r>
      <w:r w:rsidRPr="00861264">
        <w:rPr>
          <w:rFonts w:cs="Arial"/>
          <w:vertAlign w:val="superscript"/>
        </w:rPr>
        <w:fldChar w:fldCharType="end"/>
      </w:r>
    </w:p>
    <w:p w:rsidR="00250503" w:rsidRPr="00861264" w:rsidRDefault="00250503" w:rsidP="00250503">
      <w:pPr>
        <w:pStyle w:val="Paragraphedeliste"/>
        <w:numPr>
          <w:ilvl w:val="0"/>
          <w:numId w:val="19"/>
        </w:numPr>
        <w:spacing w:after="200" w:line="276" w:lineRule="auto"/>
        <w:ind w:left="993"/>
        <w:rPr>
          <w:rFonts w:cstheme="minorHAnsi"/>
          <w:szCs w:val="24"/>
        </w:rPr>
      </w:pPr>
      <w:r w:rsidRPr="00861264">
        <w:rPr>
          <w:rFonts w:cstheme="minorHAnsi"/>
          <w:szCs w:val="24"/>
        </w:rPr>
        <w:t xml:space="preserve">Copie 2 </w:t>
      </w:r>
      <w:r w:rsidRPr="00861264">
        <w:rPr>
          <w:rFonts w:cstheme="minorHAnsi"/>
          <w:szCs w:val="20"/>
        </w:rPr>
        <w:t xml:space="preserve">déterminations </w:t>
      </w:r>
      <w:proofErr w:type="spellStart"/>
      <w:r w:rsidRPr="00861264">
        <w:rPr>
          <w:rFonts w:cstheme="minorHAnsi"/>
          <w:szCs w:val="20"/>
        </w:rPr>
        <w:t>phénotypage</w:t>
      </w:r>
      <w:proofErr w:type="spellEnd"/>
      <w:r w:rsidRPr="00861264">
        <w:rPr>
          <w:rFonts w:cstheme="minorHAnsi"/>
          <w:szCs w:val="20"/>
        </w:rPr>
        <w:t xml:space="preserve"> érythrocytaire ABO RHKEL1</w:t>
      </w:r>
    </w:p>
    <w:p w:rsidR="00250503" w:rsidRPr="00861264" w:rsidRDefault="00250503" w:rsidP="00250503">
      <w:pPr>
        <w:pStyle w:val="Paragraphedeliste"/>
        <w:numPr>
          <w:ilvl w:val="0"/>
          <w:numId w:val="19"/>
        </w:numPr>
        <w:spacing w:after="200" w:line="276" w:lineRule="auto"/>
        <w:ind w:left="993"/>
        <w:rPr>
          <w:rFonts w:cstheme="minorHAnsi"/>
          <w:szCs w:val="24"/>
        </w:rPr>
      </w:pPr>
      <w:r w:rsidRPr="00861264">
        <w:rPr>
          <w:rFonts w:cstheme="minorHAnsi"/>
          <w:szCs w:val="24"/>
        </w:rPr>
        <w:t>Date et résultat des RAI et analyse IH complémentaires si besoin</w:t>
      </w:r>
    </w:p>
    <w:p w:rsidR="00250503" w:rsidRPr="00861264" w:rsidRDefault="00250503" w:rsidP="00250503">
      <w:pPr>
        <w:pStyle w:val="Paragraphedeliste"/>
        <w:numPr>
          <w:ilvl w:val="0"/>
          <w:numId w:val="19"/>
        </w:numPr>
        <w:spacing w:after="200" w:line="276" w:lineRule="auto"/>
        <w:ind w:left="993"/>
        <w:rPr>
          <w:rFonts w:cstheme="minorHAnsi"/>
          <w:szCs w:val="24"/>
        </w:rPr>
      </w:pPr>
      <w:r w:rsidRPr="00861264">
        <w:rPr>
          <w:rFonts w:cs="Arial"/>
        </w:rPr>
        <w:t>La carte de consignes transfusionnelles pour les patients ayant bénéficié d’une allogreffe de CSH</w:t>
      </w:r>
    </w:p>
    <w:p w:rsidR="00250503" w:rsidRPr="00861264" w:rsidRDefault="00250503" w:rsidP="00250503">
      <w:pPr>
        <w:pStyle w:val="Paragraphedeliste"/>
        <w:numPr>
          <w:ilvl w:val="0"/>
          <w:numId w:val="19"/>
        </w:numPr>
        <w:spacing w:after="200" w:line="276" w:lineRule="auto"/>
        <w:ind w:left="993"/>
        <w:rPr>
          <w:rFonts w:cstheme="minorHAnsi"/>
          <w:szCs w:val="24"/>
        </w:rPr>
      </w:pPr>
      <w:r w:rsidRPr="00861264">
        <w:rPr>
          <w:rFonts w:cs="Arial"/>
        </w:rPr>
        <w:t>Les protocoles transfusionnels adaptés aux situations clinique et biologique du patient précisant les qualifications et transformations des produits sanguins labiles </w:t>
      </w:r>
    </w:p>
    <w:p w:rsidR="00250503" w:rsidRPr="00861264" w:rsidRDefault="00250503" w:rsidP="00250503">
      <w:pPr>
        <w:pStyle w:val="Paragraphedeliste"/>
        <w:numPr>
          <w:ilvl w:val="0"/>
          <w:numId w:val="19"/>
        </w:numPr>
        <w:spacing w:after="200" w:line="276" w:lineRule="auto"/>
        <w:ind w:left="993"/>
        <w:rPr>
          <w:rFonts w:cstheme="minorHAnsi"/>
          <w:szCs w:val="24"/>
        </w:rPr>
      </w:pPr>
      <w:r w:rsidRPr="00861264">
        <w:rPr>
          <w:rFonts w:cstheme="minorHAnsi"/>
          <w:szCs w:val="24"/>
        </w:rPr>
        <w:t>Nature des PSL transfusés</w:t>
      </w:r>
    </w:p>
    <w:p w:rsidR="00250503" w:rsidRPr="00861264" w:rsidRDefault="00250503" w:rsidP="00250503">
      <w:pPr>
        <w:pStyle w:val="Paragraphedeliste"/>
        <w:numPr>
          <w:ilvl w:val="0"/>
          <w:numId w:val="19"/>
        </w:numPr>
        <w:spacing w:after="200" w:line="276" w:lineRule="auto"/>
        <w:ind w:left="993"/>
        <w:rPr>
          <w:rFonts w:cstheme="minorHAnsi"/>
          <w:szCs w:val="24"/>
        </w:rPr>
      </w:pPr>
      <w:r w:rsidRPr="00861264">
        <w:rPr>
          <w:rFonts w:cstheme="minorHAnsi"/>
          <w:szCs w:val="24"/>
        </w:rPr>
        <w:t>Date de la transfusion</w:t>
      </w:r>
    </w:p>
    <w:p w:rsidR="00250503" w:rsidRPr="00861264" w:rsidRDefault="00250503" w:rsidP="00250503">
      <w:pPr>
        <w:pStyle w:val="Paragraphedeliste"/>
        <w:numPr>
          <w:ilvl w:val="0"/>
          <w:numId w:val="19"/>
        </w:numPr>
        <w:spacing w:after="200" w:line="276" w:lineRule="auto"/>
        <w:ind w:left="993"/>
        <w:rPr>
          <w:rFonts w:cstheme="minorHAnsi"/>
          <w:szCs w:val="24"/>
        </w:rPr>
      </w:pPr>
      <w:r w:rsidRPr="00861264">
        <w:rPr>
          <w:rFonts w:cstheme="minorHAnsi"/>
          <w:szCs w:val="24"/>
        </w:rPr>
        <w:t>Nom du médecin prescripteur</w:t>
      </w:r>
    </w:p>
    <w:p w:rsidR="00250503" w:rsidRPr="00861264" w:rsidRDefault="00250503" w:rsidP="00250503">
      <w:pPr>
        <w:pStyle w:val="Paragraphedeliste"/>
        <w:numPr>
          <w:ilvl w:val="0"/>
          <w:numId w:val="19"/>
        </w:numPr>
        <w:spacing w:after="200" w:line="276" w:lineRule="auto"/>
        <w:ind w:left="993"/>
        <w:rPr>
          <w:rFonts w:cstheme="minorHAnsi"/>
          <w:szCs w:val="24"/>
        </w:rPr>
      </w:pPr>
      <w:r w:rsidRPr="00861264">
        <w:rPr>
          <w:rFonts w:cstheme="minorHAnsi"/>
          <w:szCs w:val="24"/>
        </w:rPr>
        <w:t>Nom de l’IDE ayant réalisé la transfusion</w:t>
      </w:r>
    </w:p>
    <w:p w:rsidR="00250503" w:rsidRPr="00861264" w:rsidRDefault="00250503" w:rsidP="00250503">
      <w:pPr>
        <w:pStyle w:val="Paragraphedeliste"/>
        <w:numPr>
          <w:ilvl w:val="0"/>
          <w:numId w:val="19"/>
        </w:numPr>
        <w:spacing w:after="200" w:line="276" w:lineRule="auto"/>
        <w:ind w:left="993"/>
        <w:rPr>
          <w:rFonts w:cstheme="minorHAnsi"/>
          <w:szCs w:val="24"/>
        </w:rPr>
      </w:pPr>
      <w:r w:rsidRPr="00861264">
        <w:rPr>
          <w:rFonts w:cstheme="minorHAnsi"/>
          <w:szCs w:val="24"/>
        </w:rPr>
        <w:t>Double de la prescription médicale</w:t>
      </w:r>
    </w:p>
    <w:p w:rsidR="00250503" w:rsidRPr="00861264" w:rsidRDefault="00250503" w:rsidP="00250503">
      <w:pPr>
        <w:pStyle w:val="Paragraphedeliste"/>
        <w:numPr>
          <w:ilvl w:val="0"/>
          <w:numId w:val="19"/>
        </w:numPr>
        <w:spacing w:after="200" w:line="276" w:lineRule="auto"/>
        <w:ind w:left="993"/>
        <w:rPr>
          <w:rFonts w:cstheme="minorHAnsi"/>
          <w:szCs w:val="24"/>
        </w:rPr>
      </w:pPr>
      <w:r w:rsidRPr="00861264">
        <w:rPr>
          <w:rFonts w:cstheme="minorHAnsi"/>
          <w:szCs w:val="24"/>
        </w:rPr>
        <w:t>Fiche de délivrance nominative</w:t>
      </w:r>
    </w:p>
    <w:p w:rsidR="00250503" w:rsidRPr="00861264" w:rsidRDefault="00250503" w:rsidP="00250503">
      <w:pPr>
        <w:pStyle w:val="Paragraphedeliste"/>
        <w:numPr>
          <w:ilvl w:val="0"/>
          <w:numId w:val="19"/>
        </w:numPr>
        <w:spacing w:after="200" w:line="276" w:lineRule="auto"/>
        <w:ind w:left="993"/>
        <w:rPr>
          <w:rFonts w:cstheme="minorHAnsi"/>
          <w:szCs w:val="24"/>
        </w:rPr>
      </w:pPr>
      <w:r w:rsidRPr="00861264">
        <w:rPr>
          <w:rFonts w:cstheme="minorHAnsi"/>
          <w:szCs w:val="24"/>
        </w:rPr>
        <w:t>Fiche de signalement EIR (s’il en a eu un)</w:t>
      </w:r>
    </w:p>
    <w:p w:rsidR="00250503" w:rsidRPr="00861264" w:rsidRDefault="00250503" w:rsidP="00250503">
      <w:pPr>
        <w:pStyle w:val="Paragraphedeliste"/>
        <w:numPr>
          <w:ilvl w:val="0"/>
          <w:numId w:val="19"/>
        </w:numPr>
        <w:spacing w:after="200" w:line="276" w:lineRule="auto"/>
        <w:ind w:left="993"/>
        <w:rPr>
          <w:rFonts w:cstheme="minorHAnsi"/>
          <w:szCs w:val="24"/>
        </w:rPr>
      </w:pPr>
      <w:r w:rsidRPr="00861264">
        <w:rPr>
          <w:rFonts w:cstheme="minorHAnsi"/>
          <w:szCs w:val="24"/>
        </w:rPr>
        <w:t>Fiche ANSM déclaration EIR si besoin</w:t>
      </w:r>
    </w:p>
    <w:p w:rsidR="00250503" w:rsidRPr="00861264" w:rsidRDefault="00250503" w:rsidP="00250503">
      <w:pPr>
        <w:pStyle w:val="Paragraphedeliste"/>
        <w:numPr>
          <w:ilvl w:val="0"/>
          <w:numId w:val="19"/>
        </w:numPr>
        <w:spacing w:after="200" w:line="276" w:lineRule="auto"/>
        <w:ind w:left="993"/>
        <w:rPr>
          <w:rFonts w:cstheme="minorHAnsi"/>
          <w:szCs w:val="24"/>
        </w:rPr>
      </w:pPr>
      <w:r w:rsidRPr="00861264">
        <w:rPr>
          <w:rFonts w:cstheme="minorHAnsi"/>
          <w:szCs w:val="24"/>
        </w:rPr>
        <w:t>Double de l’information remise au patient avant la transfusion</w:t>
      </w:r>
    </w:p>
    <w:p w:rsidR="00250503" w:rsidRPr="00861264" w:rsidRDefault="00250503" w:rsidP="00250503">
      <w:pPr>
        <w:pStyle w:val="Paragraphedeliste"/>
        <w:numPr>
          <w:ilvl w:val="0"/>
          <w:numId w:val="19"/>
        </w:numPr>
        <w:spacing w:after="200" w:line="276" w:lineRule="auto"/>
        <w:ind w:left="993"/>
        <w:rPr>
          <w:rFonts w:cstheme="minorHAnsi"/>
          <w:szCs w:val="24"/>
        </w:rPr>
      </w:pPr>
      <w:r w:rsidRPr="00861264">
        <w:rPr>
          <w:rFonts w:cstheme="minorHAnsi"/>
          <w:szCs w:val="24"/>
        </w:rPr>
        <w:t>Double de l’ordonnance post-transfusionnelle</w:t>
      </w:r>
    </w:p>
    <w:p w:rsidR="00250503" w:rsidRPr="00861264" w:rsidRDefault="00250503" w:rsidP="00250503">
      <w:pPr>
        <w:pStyle w:val="Paragraphedeliste"/>
        <w:numPr>
          <w:ilvl w:val="0"/>
          <w:numId w:val="19"/>
        </w:numPr>
        <w:spacing w:after="200" w:line="276" w:lineRule="auto"/>
        <w:ind w:left="993"/>
        <w:rPr>
          <w:rFonts w:cstheme="minorHAnsi"/>
          <w:szCs w:val="24"/>
        </w:rPr>
      </w:pPr>
      <w:r w:rsidRPr="00861264">
        <w:rPr>
          <w:rFonts w:cstheme="minorHAnsi"/>
          <w:szCs w:val="24"/>
        </w:rPr>
        <w:t>Double de la lettre remise au patient à sa sortie indiquant la transfusion et le type de PSL</w:t>
      </w:r>
    </w:p>
    <w:p w:rsidR="00250503" w:rsidRPr="00861264" w:rsidRDefault="00250503" w:rsidP="00250503">
      <w:pPr>
        <w:pStyle w:val="Paragraphedeliste"/>
        <w:numPr>
          <w:ilvl w:val="0"/>
          <w:numId w:val="19"/>
        </w:numPr>
        <w:spacing w:after="200" w:line="276" w:lineRule="auto"/>
        <w:ind w:left="993"/>
        <w:rPr>
          <w:rFonts w:cstheme="minorHAnsi"/>
          <w:szCs w:val="24"/>
        </w:rPr>
      </w:pPr>
      <w:r w:rsidRPr="00861264">
        <w:rPr>
          <w:rFonts w:cstheme="minorHAnsi"/>
          <w:szCs w:val="24"/>
        </w:rPr>
        <w:t>Fiche de suivi transfusionnel du patient</w:t>
      </w:r>
    </w:p>
    <w:p w:rsidR="00250503" w:rsidRPr="00861264" w:rsidRDefault="00250503" w:rsidP="00250503">
      <w:pPr>
        <w:pStyle w:val="Paragraphedeliste"/>
        <w:numPr>
          <w:ilvl w:val="0"/>
          <w:numId w:val="19"/>
        </w:numPr>
        <w:spacing w:after="200" w:line="276" w:lineRule="auto"/>
        <w:ind w:left="993"/>
        <w:rPr>
          <w:rFonts w:cstheme="minorHAnsi"/>
          <w:szCs w:val="24"/>
        </w:rPr>
      </w:pPr>
      <w:r w:rsidRPr="00861264">
        <w:rPr>
          <w:rFonts w:cstheme="minorHAnsi"/>
          <w:szCs w:val="24"/>
        </w:rPr>
        <w:t>Bon de transport</w:t>
      </w:r>
    </w:p>
    <w:p w:rsidR="00250503" w:rsidRPr="00861264" w:rsidRDefault="00250503" w:rsidP="00250503">
      <w:pPr>
        <w:spacing w:after="200" w:line="276" w:lineRule="auto"/>
        <w:ind w:left="1845"/>
        <w:contextualSpacing/>
        <w:rPr>
          <w:rFonts w:cstheme="minorHAnsi"/>
          <w:szCs w:val="24"/>
        </w:rPr>
      </w:pPr>
    </w:p>
    <w:p w:rsidR="00250503" w:rsidRPr="00861264" w:rsidRDefault="00250503" w:rsidP="00250503">
      <w:pPr>
        <w:pStyle w:val="Paragraphedeliste"/>
        <w:spacing w:after="0" w:line="240" w:lineRule="auto"/>
        <w:ind w:left="426"/>
        <w:jc w:val="both"/>
        <w:rPr>
          <w:rFonts w:cs="Arial"/>
          <w:b/>
        </w:rPr>
      </w:pPr>
      <w:r w:rsidRPr="00861264">
        <w:rPr>
          <w:rFonts w:cs="Arial"/>
          <w:b/>
        </w:rPr>
        <w:t>Les documents relatifs aux transfusions antérieures :</w:t>
      </w:r>
    </w:p>
    <w:p w:rsidR="00250503" w:rsidRPr="00861264" w:rsidRDefault="00250503" w:rsidP="00250503">
      <w:pPr>
        <w:pStyle w:val="Paragraphedeliste"/>
        <w:ind w:left="426"/>
        <w:rPr>
          <w:rFonts w:cs="Arial"/>
          <w:b/>
        </w:rPr>
      </w:pPr>
    </w:p>
    <w:p w:rsidR="00250503" w:rsidRPr="00861264" w:rsidRDefault="00250503" w:rsidP="00250503">
      <w:pPr>
        <w:pStyle w:val="Paragraphedeliste"/>
        <w:numPr>
          <w:ilvl w:val="0"/>
          <w:numId w:val="22"/>
        </w:numPr>
        <w:spacing w:after="0" w:line="240" w:lineRule="auto"/>
        <w:jc w:val="both"/>
        <w:rPr>
          <w:rFonts w:cs="Arial"/>
        </w:rPr>
      </w:pPr>
      <w:r w:rsidRPr="00861264">
        <w:rPr>
          <w:rFonts w:cs="Arial"/>
        </w:rPr>
        <w:t>Le récapitulatif chronologiq</w:t>
      </w:r>
      <w:r w:rsidR="00A1690B">
        <w:rPr>
          <w:rFonts w:cs="Arial"/>
        </w:rPr>
        <w:t>ue des épisodes transfusionnels</w:t>
      </w:r>
    </w:p>
    <w:p w:rsidR="00250503" w:rsidRPr="00861264" w:rsidRDefault="00250503" w:rsidP="00250503">
      <w:pPr>
        <w:pStyle w:val="Paragraphedeliste"/>
        <w:numPr>
          <w:ilvl w:val="0"/>
          <w:numId w:val="22"/>
        </w:numPr>
        <w:spacing w:after="0" w:line="240" w:lineRule="auto"/>
        <w:jc w:val="both"/>
        <w:rPr>
          <w:rFonts w:cs="Arial"/>
        </w:rPr>
      </w:pPr>
      <w:r w:rsidRPr="00861264">
        <w:rPr>
          <w:rFonts w:cs="Arial"/>
        </w:rPr>
        <w:t xml:space="preserve">Les prescriptions de </w:t>
      </w:r>
      <w:r w:rsidR="00A1690B">
        <w:rPr>
          <w:rFonts w:cs="Arial"/>
        </w:rPr>
        <w:t>PSL et les fiches de délivrance</w:t>
      </w:r>
    </w:p>
    <w:p w:rsidR="00250503" w:rsidRPr="00861264" w:rsidRDefault="00250503" w:rsidP="00250503">
      <w:pPr>
        <w:pStyle w:val="Paragraphedeliste"/>
        <w:numPr>
          <w:ilvl w:val="0"/>
          <w:numId w:val="22"/>
        </w:numPr>
        <w:spacing w:after="0" w:line="240" w:lineRule="auto"/>
        <w:jc w:val="both"/>
        <w:rPr>
          <w:rFonts w:cs="Arial"/>
        </w:rPr>
      </w:pPr>
      <w:r w:rsidRPr="00861264">
        <w:rPr>
          <w:rFonts w:cs="Arial"/>
        </w:rPr>
        <w:t xml:space="preserve">La partie écrite du dispositif de contrôle ultime ou son enregistrement dans le </w:t>
      </w:r>
      <w:r w:rsidR="00A1690B">
        <w:rPr>
          <w:rFonts w:cs="Arial"/>
        </w:rPr>
        <w:t>dossier transfusionnel</w:t>
      </w:r>
    </w:p>
    <w:p w:rsidR="00250503" w:rsidRPr="00861264" w:rsidRDefault="00250503" w:rsidP="00250503">
      <w:pPr>
        <w:pStyle w:val="Paragraphedeliste"/>
        <w:numPr>
          <w:ilvl w:val="0"/>
          <w:numId w:val="22"/>
        </w:numPr>
        <w:spacing w:after="0" w:line="240" w:lineRule="auto"/>
        <w:jc w:val="both"/>
        <w:rPr>
          <w:rFonts w:cs="Arial"/>
        </w:rPr>
      </w:pPr>
      <w:r w:rsidRPr="00861264">
        <w:rPr>
          <w:rFonts w:cs="Arial"/>
        </w:rPr>
        <w:t>Les éventuelles fiches de déclarations d’effets indésirables receveurs et d’incidents de la chaine transf</w:t>
      </w:r>
      <w:r w:rsidR="00A1690B">
        <w:rPr>
          <w:rFonts w:cs="Arial"/>
        </w:rPr>
        <w:t>usionnelle en cas d’EIR associé</w:t>
      </w:r>
    </w:p>
    <w:p w:rsidR="00250503" w:rsidRPr="00861264" w:rsidRDefault="00250503" w:rsidP="00250503">
      <w:pPr>
        <w:pStyle w:val="Paragraphedeliste"/>
        <w:numPr>
          <w:ilvl w:val="0"/>
          <w:numId w:val="22"/>
        </w:numPr>
        <w:spacing w:after="0" w:line="240" w:lineRule="auto"/>
        <w:jc w:val="both"/>
        <w:rPr>
          <w:rFonts w:cs="Arial"/>
        </w:rPr>
      </w:pPr>
      <w:r w:rsidRPr="00861264">
        <w:rPr>
          <w:rFonts w:cs="Arial"/>
        </w:rPr>
        <w:t>Les éventuels sign</w:t>
      </w:r>
      <w:r w:rsidR="00A1690B">
        <w:rPr>
          <w:rFonts w:cs="Arial"/>
        </w:rPr>
        <w:t>alements d’information post-don</w:t>
      </w:r>
    </w:p>
    <w:p w:rsidR="00250503" w:rsidRPr="00861264" w:rsidRDefault="00250503" w:rsidP="00250503">
      <w:pPr>
        <w:pStyle w:val="Paragraphedeliste"/>
        <w:spacing w:after="0" w:line="240" w:lineRule="auto"/>
        <w:ind w:left="426"/>
        <w:jc w:val="both"/>
        <w:rPr>
          <w:rFonts w:cs="Arial"/>
          <w:b/>
        </w:rPr>
      </w:pPr>
      <w:r w:rsidRPr="00861264">
        <w:rPr>
          <w:rFonts w:cs="Arial"/>
          <w:b/>
        </w:rPr>
        <w:lastRenderedPageBreak/>
        <w:t>Les documents annexes :</w:t>
      </w:r>
    </w:p>
    <w:p w:rsidR="00250503" w:rsidRPr="00861264" w:rsidRDefault="00250503" w:rsidP="00250503">
      <w:pPr>
        <w:pStyle w:val="Paragraphedeliste"/>
        <w:ind w:left="426"/>
        <w:rPr>
          <w:rFonts w:cs="Arial"/>
          <w:b/>
        </w:rPr>
      </w:pPr>
    </w:p>
    <w:p w:rsidR="00250503" w:rsidRPr="00861264" w:rsidRDefault="00250503" w:rsidP="00250503">
      <w:pPr>
        <w:pStyle w:val="Paragraphedeliste"/>
        <w:numPr>
          <w:ilvl w:val="0"/>
          <w:numId w:val="22"/>
        </w:numPr>
        <w:spacing w:after="0" w:line="240" w:lineRule="auto"/>
        <w:jc w:val="both"/>
        <w:rPr>
          <w:rFonts w:cs="Arial"/>
        </w:rPr>
      </w:pPr>
      <w:r w:rsidRPr="00861264">
        <w:rPr>
          <w:rFonts w:cs="Arial"/>
        </w:rPr>
        <w:t>Les éléments rela</w:t>
      </w:r>
      <w:r w:rsidR="00A1690B">
        <w:rPr>
          <w:rFonts w:cs="Arial"/>
        </w:rPr>
        <w:t>tifs à l'information du patient</w:t>
      </w:r>
    </w:p>
    <w:p w:rsidR="00250503" w:rsidRPr="00861264" w:rsidRDefault="00250503" w:rsidP="00250503">
      <w:pPr>
        <w:pStyle w:val="Paragraphedeliste"/>
        <w:numPr>
          <w:ilvl w:val="0"/>
          <w:numId w:val="22"/>
        </w:numPr>
        <w:spacing w:after="0" w:line="240" w:lineRule="auto"/>
        <w:jc w:val="both"/>
        <w:rPr>
          <w:rFonts w:cs="Arial"/>
        </w:rPr>
      </w:pPr>
      <w:r w:rsidRPr="00861264">
        <w:rPr>
          <w:rFonts w:cs="Arial"/>
        </w:rPr>
        <w:t>Les antécédents immunologiques (transf</w:t>
      </w:r>
      <w:r w:rsidR="00A1690B">
        <w:rPr>
          <w:rFonts w:cs="Arial"/>
        </w:rPr>
        <w:t>usion, grossesse, greffe, etc.)</w:t>
      </w:r>
    </w:p>
    <w:p w:rsidR="00250503" w:rsidRPr="00861264" w:rsidRDefault="00250503" w:rsidP="00250503">
      <w:pPr>
        <w:pStyle w:val="Paragraphedeliste"/>
        <w:numPr>
          <w:ilvl w:val="0"/>
          <w:numId w:val="22"/>
        </w:numPr>
        <w:spacing w:after="0" w:line="240" w:lineRule="auto"/>
        <w:jc w:val="both"/>
        <w:rPr>
          <w:rFonts w:cs="Arial"/>
        </w:rPr>
      </w:pPr>
      <w:r w:rsidRPr="00861264">
        <w:rPr>
          <w:rFonts w:cs="Arial"/>
        </w:rPr>
        <w:t>Les éventuels sign</w:t>
      </w:r>
      <w:r w:rsidR="00A1690B">
        <w:rPr>
          <w:rFonts w:cs="Arial"/>
        </w:rPr>
        <w:t>alements d’information post-don</w:t>
      </w:r>
    </w:p>
    <w:p w:rsidR="00250503" w:rsidRPr="00861264" w:rsidRDefault="00250503" w:rsidP="00250503">
      <w:pPr>
        <w:pStyle w:val="Paragraphedeliste"/>
        <w:rPr>
          <w:rFonts w:cs="Arial"/>
        </w:rPr>
      </w:pPr>
    </w:p>
    <w:p w:rsidR="00250503" w:rsidRPr="00861264" w:rsidRDefault="00250503" w:rsidP="00250503">
      <w:pPr>
        <w:spacing w:after="200" w:line="276" w:lineRule="auto"/>
        <w:ind w:left="1845"/>
        <w:contextualSpacing/>
        <w:rPr>
          <w:rFonts w:cstheme="minorHAnsi"/>
          <w:szCs w:val="24"/>
        </w:rPr>
      </w:pPr>
    </w:p>
    <w:p w:rsidR="00250503" w:rsidRPr="00861264" w:rsidRDefault="00250503" w:rsidP="00250503">
      <w:pPr>
        <w:pStyle w:val="Paragraphedeliste"/>
        <w:numPr>
          <w:ilvl w:val="0"/>
          <w:numId w:val="21"/>
        </w:numPr>
        <w:spacing w:after="200" w:line="276" w:lineRule="auto"/>
        <w:ind w:left="426"/>
        <w:rPr>
          <w:rFonts w:cstheme="minorHAnsi"/>
          <w:szCs w:val="24"/>
          <w:u w:val="single"/>
        </w:rPr>
      </w:pPr>
      <w:r w:rsidRPr="00861264">
        <w:rPr>
          <w:rFonts w:cstheme="minorHAnsi"/>
          <w:szCs w:val="24"/>
          <w:u w:val="single"/>
        </w:rPr>
        <w:t>Archivage du dossier transfusionnel</w:t>
      </w:r>
    </w:p>
    <w:p w:rsidR="00250503" w:rsidRPr="00861264" w:rsidRDefault="00250503" w:rsidP="00250503">
      <w:pPr>
        <w:pStyle w:val="Paragraphedeliste"/>
        <w:spacing w:after="200" w:line="276" w:lineRule="auto"/>
        <w:ind w:left="426"/>
        <w:rPr>
          <w:rFonts w:cstheme="minorHAnsi"/>
          <w:szCs w:val="24"/>
          <w:u w:val="single"/>
        </w:rPr>
      </w:pPr>
    </w:p>
    <w:p w:rsidR="00250503" w:rsidRPr="00861264" w:rsidRDefault="00250503" w:rsidP="00250503">
      <w:pPr>
        <w:pStyle w:val="Paragraphedeliste"/>
        <w:numPr>
          <w:ilvl w:val="0"/>
          <w:numId w:val="20"/>
        </w:numPr>
        <w:spacing w:after="0" w:line="240" w:lineRule="auto"/>
        <w:ind w:left="993"/>
        <w:rPr>
          <w:rFonts w:cstheme="minorHAnsi"/>
          <w:szCs w:val="24"/>
        </w:rPr>
      </w:pPr>
      <w:r w:rsidRPr="00861264">
        <w:rPr>
          <w:rFonts w:cstheme="minorHAnsi"/>
          <w:szCs w:val="24"/>
        </w:rPr>
        <w:t>Après vérification de la présence de tous les documents, il est joint au dossier patient unique</w:t>
      </w:r>
    </w:p>
    <w:p w:rsidR="00250503" w:rsidRPr="00861264" w:rsidRDefault="00250503" w:rsidP="00250503">
      <w:pPr>
        <w:pStyle w:val="Paragraphedeliste"/>
        <w:numPr>
          <w:ilvl w:val="0"/>
          <w:numId w:val="20"/>
        </w:numPr>
        <w:spacing w:after="0" w:line="240" w:lineRule="auto"/>
        <w:ind w:left="993"/>
        <w:rPr>
          <w:rFonts w:cstheme="minorHAnsi"/>
          <w:szCs w:val="24"/>
        </w:rPr>
      </w:pPr>
      <w:r w:rsidRPr="00861264">
        <w:rPr>
          <w:rFonts w:cs="Arial"/>
        </w:rPr>
        <w:t xml:space="preserve">Chaque établissement de santé ou établissement de transfusion sanguine exerçant des activités de soins, établit un mode de gestion manuelle ou informatique des documents constituant ce dossier transfusionnel afin d’établir le fichier des receveurs de produits sanguins labiles et assurer une traçabilité des produits sanguins labiles tout en </w:t>
      </w:r>
      <w:r w:rsidR="00A1690B">
        <w:rPr>
          <w:rFonts w:cs="Arial"/>
        </w:rPr>
        <w:t>sauvegardant son accessibilité.</w:t>
      </w:r>
      <w:bookmarkStart w:id="0" w:name="_GoBack"/>
      <w:bookmarkEnd w:id="0"/>
    </w:p>
    <w:p w:rsidR="00250503" w:rsidRPr="00861264" w:rsidRDefault="00250503" w:rsidP="00250503">
      <w:pPr>
        <w:pStyle w:val="Paragraphedeliste"/>
        <w:numPr>
          <w:ilvl w:val="0"/>
          <w:numId w:val="20"/>
        </w:numPr>
        <w:spacing w:after="0" w:line="240" w:lineRule="auto"/>
        <w:ind w:left="993"/>
        <w:rPr>
          <w:rFonts w:cstheme="minorHAnsi"/>
          <w:b/>
          <w:color w:val="FF0000"/>
          <w:szCs w:val="24"/>
        </w:rPr>
      </w:pPr>
      <w:r w:rsidRPr="00861264">
        <w:rPr>
          <w:rFonts w:cs="Arial"/>
          <w:b/>
          <w:color w:val="FF0000"/>
        </w:rPr>
        <w:t>En cas d’informatisation, les documents constituant ce dossier transfusionnel sont regroupés sur un onglet spécifique, permettant leur accès rapidement avec une sauvegarde pérenne sur 30 ans</w:t>
      </w:r>
    </w:p>
    <w:p w:rsidR="00250503" w:rsidRPr="00861264" w:rsidRDefault="00250503" w:rsidP="00250503">
      <w:pPr>
        <w:pStyle w:val="Paragraphedeliste"/>
        <w:spacing w:after="0" w:line="240" w:lineRule="auto"/>
        <w:ind w:left="993"/>
        <w:rPr>
          <w:rFonts w:cstheme="minorHAnsi"/>
          <w:szCs w:val="24"/>
        </w:rPr>
      </w:pPr>
    </w:p>
    <w:p w:rsidR="00250503" w:rsidRPr="00DE146E" w:rsidRDefault="00250503" w:rsidP="00250503">
      <w:pPr>
        <w:rPr>
          <w:vertAlign w:val="superscript"/>
        </w:rPr>
      </w:pPr>
      <w:r w:rsidRPr="00861264">
        <w:rPr>
          <w:vertAlign w:val="superscript"/>
        </w:rPr>
        <w:t>1</w:t>
      </w:r>
      <w:r w:rsidRPr="00861264">
        <w:t> : L’identifiant national de santé comporte le matricule INS ainsi que les cinq traits d’identité de référence qui sont le nom de naissance, le(s) prénom(s) de naissance, la date de naissance, le sexe et le code INSEE du lieu de naissance. Dans l’attente de la généralisation de son utilisation, les éléments d’identification du patient peuvent être limités au nom de naissance, prénom de naissance, date de naissance et sexe.</w:t>
      </w:r>
    </w:p>
    <w:p w:rsidR="00F10DBB" w:rsidRDefault="00F10DBB"/>
    <w:sectPr w:rsidR="00F10DBB" w:rsidSect="00E01806">
      <w:headerReference w:type="default" r:id="rId7"/>
      <w:footerReference w:type="default" r:id="rId8"/>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6C2" w:rsidRDefault="00D806C2" w:rsidP="00CE47D1">
      <w:pPr>
        <w:spacing w:after="0" w:line="240" w:lineRule="auto"/>
      </w:pPr>
      <w:r>
        <w:separator/>
      </w:r>
    </w:p>
  </w:endnote>
  <w:endnote w:type="continuationSeparator" w:id="0">
    <w:p w:rsidR="00D806C2" w:rsidRDefault="00D806C2" w:rsidP="00CE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183" w:rsidRPr="00F3500B" w:rsidRDefault="00F3500B" w:rsidP="00554F14">
    <w:pPr>
      <w:pStyle w:val="Pieddepage"/>
      <w:rPr>
        <w:rFonts w:ascii="Arial" w:hAnsi="Arial" w:cs="Arial"/>
        <w:color w:val="000080"/>
        <w:sz w:val="14"/>
        <w:szCs w:val="16"/>
      </w:rPr>
    </w:pPr>
    <w:r w:rsidRPr="00F3500B">
      <w:rPr>
        <w:rFonts w:ascii="Arial" w:hAnsi="Arial" w:cs="Arial"/>
        <w:i/>
        <w:color w:val="000080"/>
        <w:sz w:val="12"/>
        <w:szCs w:val="16"/>
      </w:rPr>
      <w:t>HV/CVL/</w:t>
    </w:r>
    <w:r w:rsidR="006644B2">
      <w:rPr>
        <w:rFonts w:ascii="Arial" w:hAnsi="Arial" w:cs="Arial"/>
        <w:i/>
        <w:color w:val="000080"/>
        <w:sz w:val="12"/>
        <w:szCs w:val="16"/>
      </w:rPr>
      <w:t>DEPOT/AUTORISATION/ARCHIVAGE</w:t>
    </w:r>
  </w:p>
  <w:p w:rsidR="00E77183" w:rsidRDefault="00E77183" w:rsidP="00E77183">
    <w:pPr>
      <w:pStyle w:val="Pieddepage"/>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6C2" w:rsidRDefault="00D806C2" w:rsidP="00CE47D1">
      <w:pPr>
        <w:spacing w:after="0" w:line="240" w:lineRule="auto"/>
      </w:pPr>
      <w:r>
        <w:separator/>
      </w:r>
    </w:p>
  </w:footnote>
  <w:footnote w:type="continuationSeparator" w:id="0">
    <w:p w:rsidR="00D806C2" w:rsidRDefault="00D806C2" w:rsidP="00CE4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D1" w:rsidRDefault="00273F0A"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73F0A">
      <w:rPr>
        <w:noProof/>
        <w:sz w:val="14"/>
        <w:lang w:eastAsia="fr-FR"/>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178217</wp:posOffset>
              </wp:positionV>
              <wp:extent cx="5732060" cy="6994"/>
              <wp:effectExtent l="0" t="0" r="21590" b="31115"/>
              <wp:wrapNone/>
              <wp:docPr id="1" name="Connecteur droit 1"/>
              <wp:cNvGraphicFramePr/>
              <a:graphic xmlns:a="http://schemas.openxmlformats.org/drawingml/2006/main">
                <a:graphicData uri="http://schemas.microsoft.com/office/word/2010/wordprocessingShape">
                  <wps:wsp>
                    <wps:cNvCnPr/>
                    <wps:spPr>
                      <a:xfrm flipV="1">
                        <a:off x="0" y="0"/>
                        <a:ext cx="5732060" cy="6994"/>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2C39F" id="Connecteur droit 1"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15pt,14.05pt" to="85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" strokecolor="#4472c4 [3208]" strokeweight=".5pt">
              <v:stroke joinstyle="miter"/>
              <w10:wrap anchorx="margin"/>
            </v:line>
          </w:pict>
        </mc:Fallback>
      </mc:AlternateContent>
    </w:r>
    <w:r w:rsidRPr="00273F0A">
      <w:rPr>
        <w:noProof/>
        <w:sz w:val="14"/>
        <w:lang w:eastAsia="fr-FR"/>
      </w:rPr>
      <w:drawing>
        <wp:anchor distT="0" distB="0" distL="114300" distR="114300" simplePos="0" relativeHeight="251660288" behindDoc="1" locked="0" layoutInCell="1" allowOverlap="1">
          <wp:simplePos x="0" y="0"/>
          <wp:positionH relativeFrom="column">
            <wp:posOffset>150495</wp:posOffset>
          </wp:positionH>
          <wp:positionV relativeFrom="paragraph">
            <wp:posOffset>232410</wp:posOffset>
          </wp:positionV>
          <wp:extent cx="395785" cy="361154"/>
          <wp:effectExtent l="0" t="0" r="4445"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EMOVIGILAN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5785" cy="361154"/>
                  </a:xfrm>
                  <a:prstGeom prst="rect">
                    <a:avLst/>
                  </a:prstGeom>
                </pic:spPr>
              </pic:pic>
            </a:graphicData>
          </a:graphic>
        </wp:anchor>
      </w:drawing>
    </w:r>
    <w:r w:rsidRPr="00273F0A">
      <w:rPr>
        <w:rFonts w:ascii="Times New Roman" w:hAnsi="Times New Roman" w:cs="Times New Roman"/>
        <w:noProof/>
        <w:sz w:val="16"/>
        <w:szCs w:val="24"/>
        <w:lang w:eastAsia="fr-FR"/>
      </w:rPr>
      <w:drawing>
        <wp:anchor distT="0" distB="0" distL="114300" distR="114300" simplePos="0" relativeHeight="251659264" behindDoc="1" locked="0" layoutInCell="1" allowOverlap="0" wp14:anchorId="5258606D" wp14:editId="23782684">
          <wp:simplePos x="0" y="0"/>
          <wp:positionH relativeFrom="margin">
            <wp:align>left</wp:align>
          </wp:positionH>
          <wp:positionV relativeFrom="line">
            <wp:posOffset>-163034</wp:posOffset>
          </wp:positionV>
          <wp:extent cx="808028" cy="300251"/>
          <wp:effectExtent l="0" t="0" r="0" b="508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028" cy="300251"/>
                  </a:xfrm>
                  <a:prstGeom prst="rect">
                    <a:avLst/>
                  </a:prstGeom>
                  <a:noFill/>
                </pic:spPr>
              </pic:pic>
            </a:graphicData>
          </a:graphic>
          <wp14:sizeRelH relativeFrom="page">
            <wp14:pctWidth>0</wp14:pctWidth>
          </wp14:sizeRelH>
          <wp14:sizeRelV relativeFrom="page">
            <wp14:pctHeight>0</wp14:pctHeight>
          </wp14:sizeRelV>
        </wp:anchor>
      </w:drawing>
    </w:r>
    <w:r w:rsidRPr="00273F0A">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CELLULE REGIONALE D’HEMOVIGILANCE</w:t>
    </w:r>
  </w:p>
  <w:p w:rsidR="00F3500B" w:rsidRPr="00273F0A" w:rsidRDefault="00F3500B"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Centre-Val de Loire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0344"/>
    <w:multiLevelType w:val="hybridMultilevel"/>
    <w:tmpl w:val="1D105280"/>
    <w:lvl w:ilvl="0" w:tplc="3B2ECC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EE1CF6"/>
    <w:multiLevelType w:val="hybridMultilevel"/>
    <w:tmpl w:val="6BB43B90"/>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 w15:restartNumberingAfterBreak="0">
    <w:nsid w:val="09F77207"/>
    <w:multiLevelType w:val="hybridMultilevel"/>
    <w:tmpl w:val="6462A34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0026109"/>
    <w:multiLevelType w:val="hybridMultilevel"/>
    <w:tmpl w:val="EAF2D1C8"/>
    <w:lvl w:ilvl="0" w:tplc="040C0003">
      <w:start w:val="1"/>
      <w:numFmt w:val="bullet"/>
      <w:lvlText w:val="o"/>
      <w:lvlJc w:val="left"/>
      <w:pPr>
        <w:ind w:left="2280" w:hanging="360"/>
      </w:pPr>
      <w:rPr>
        <w:rFonts w:ascii="Courier New" w:hAnsi="Courier New" w:cs="Courier New"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4" w15:restartNumberingAfterBreak="0">
    <w:nsid w:val="15B570C4"/>
    <w:multiLevelType w:val="hybridMultilevel"/>
    <w:tmpl w:val="635C5EC4"/>
    <w:lvl w:ilvl="0" w:tplc="040C0001">
      <w:start w:val="1"/>
      <w:numFmt w:val="bullet"/>
      <w:lvlText w:val=""/>
      <w:lvlJc w:val="left"/>
      <w:pPr>
        <w:ind w:left="1996" w:hanging="360"/>
      </w:pPr>
      <w:rPr>
        <w:rFonts w:ascii="Symbol" w:hAnsi="Symbol"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5" w15:restartNumberingAfterBreak="0">
    <w:nsid w:val="28D05F70"/>
    <w:multiLevelType w:val="hybridMultilevel"/>
    <w:tmpl w:val="8520947E"/>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6" w15:restartNumberingAfterBreak="0">
    <w:nsid w:val="2BDA0059"/>
    <w:multiLevelType w:val="hybridMultilevel"/>
    <w:tmpl w:val="B4AE2B08"/>
    <w:lvl w:ilvl="0" w:tplc="040C0003">
      <w:start w:val="1"/>
      <w:numFmt w:val="bullet"/>
      <w:lvlText w:val="o"/>
      <w:lvlJc w:val="left"/>
      <w:pPr>
        <w:ind w:left="2138" w:hanging="360"/>
      </w:pPr>
      <w:rPr>
        <w:rFonts w:ascii="Courier New" w:hAnsi="Courier New" w:cs="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7" w15:restartNumberingAfterBreak="0">
    <w:nsid w:val="33440786"/>
    <w:multiLevelType w:val="hybridMultilevel"/>
    <w:tmpl w:val="5E14C154"/>
    <w:lvl w:ilvl="0" w:tplc="040C0001">
      <w:start w:val="1"/>
      <w:numFmt w:val="bullet"/>
      <w:lvlText w:val=""/>
      <w:lvlJc w:val="left"/>
      <w:pPr>
        <w:ind w:left="1766" w:hanging="360"/>
      </w:pPr>
      <w:rPr>
        <w:rFonts w:ascii="Symbol" w:hAnsi="Symbol" w:hint="default"/>
      </w:rPr>
    </w:lvl>
    <w:lvl w:ilvl="1" w:tplc="040C0003" w:tentative="1">
      <w:start w:val="1"/>
      <w:numFmt w:val="bullet"/>
      <w:lvlText w:val="o"/>
      <w:lvlJc w:val="left"/>
      <w:pPr>
        <w:ind w:left="2486" w:hanging="360"/>
      </w:pPr>
      <w:rPr>
        <w:rFonts w:ascii="Courier New" w:hAnsi="Courier New" w:cs="Courier New" w:hint="default"/>
      </w:rPr>
    </w:lvl>
    <w:lvl w:ilvl="2" w:tplc="040C0005" w:tentative="1">
      <w:start w:val="1"/>
      <w:numFmt w:val="bullet"/>
      <w:lvlText w:val=""/>
      <w:lvlJc w:val="left"/>
      <w:pPr>
        <w:ind w:left="3206" w:hanging="360"/>
      </w:pPr>
      <w:rPr>
        <w:rFonts w:ascii="Wingdings" w:hAnsi="Wingdings" w:hint="default"/>
      </w:rPr>
    </w:lvl>
    <w:lvl w:ilvl="3" w:tplc="040C0001" w:tentative="1">
      <w:start w:val="1"/>
      <w:numFmt w:val="bullet"/>
      <w:lvlText w:val=""/>
      <w:lvlJc w:val="left"/>
      <w:pPr>
        <w:ind w:left="3926" w:hanging="360"/>
      </w:pPr>
      <w:rPr>
        <w:rFonts w:ascii="Symbol" w:hAnsi="Symbol" w:hint="default"/>
      </w:rPr>
    </w:lvl>
    <w:lvl w:ilvl="4" w:tplc="040C0003" w:tentative="1">
      <w:start w:val="1"/>
      <w:numFmt w:val="bullet"/>
      <w:lvlText w:val="o"/>
      <w:lvlJc w:val="left"/>
      <w:pPr>
        <w:ind w:left="4646" w:hanging="360"/>
      </w:pPr>
      <w:rPr>
        <w:rFonts w:ascii="Courier New" w:hAnsi="Courier New" w:cs="Courier New" w:hint="default"/>
      </w:rPr>
    </w:lvl>
    <w:lvl w:ilvl="5" w:tplc="040C0005" w:tentative="1">
      <w:start w:val="1"/>
      <w:numFmt w:val="bullet"/>
      <w:lvlText w:val=""/>
      <w:lvlJc w:val="left"/>
      <w:pPr>
        <w:ind w:left="5366" w:hanging="360"/>
      </w:pPr>
      <w:rPr>
        <w:rFonts w:ascii="Wingdings" w:hAnsi="Wingdings" w:hint="default"/>
      </w:rPr>
    </w:lvl>
    <w:lvl w:ilvl="6" w:tplc="040C0001" w:tentative="1">
      <w:start w:val="1"/>
      <w:numFmt w:val="bullet"/>
      <w:lvlText w:val=""/>
      <w:lvlJc w:val="left"/>
      <w:pPr>
        <w:ind w:left="6086" w:hanging="360"/>
      </w:pPr>
      <w:rPr>
        <w:rFonts w:ascii="Symbol" w:hAnsi="Symbol" w:hint="default"/>
      </w:rPr>
    </w:lvl>
    <w:lvl w:ilvl="7" w:tplc="040C0003" w:tentative="1">
      <w:start w:val="1"/>
      <w:numFmt w:val="bullet"/>
      <w:lvlText w:val="o"/>
      <w:lvlJc w:val="left"/>
      <w:pPr>
        <w:ind w:left="6806" w:hanging="360"/>
      </w:pPr>
      <w:rPr>
        <w:rFonts w:ascii="Courier New" w:hAnsi="Courier New" w:cs="Courier New" w:hint="default"/>
      </w:rPr>
    </w:lvl>
    <w:lvl w:ilvl="8" w:tplc="040C0005" w:tentative="1">
      <w:start w:val="1"/>
      <w:numFmt w:val="bullet"/>
      <w:lvlText w:val=""/>
      <w:lvlJc w:val="left"/>
      <w:pPr>
        <w:ind w:left="7526" w:hanging="360"/>
      </w:pPr>
      <w:rPr>
        <w:rFonts w:ascii="Wingdings" w:hAnsi="Wingdings" w:hint="default"/>
      </w:rPr>
    </w:lvl>
  </w:abstractNum>
  <w:abstractNum w:abstractNumId="8" w15:restartNumberingAfterBreak="0">
    <w:nsid w:val="38A96998"/>
    <w:multiLevelType w:val="hybridMultilevel"/>
    <w:tmpl w:val="23F24030"/>
    <w:lvl w:ilvl="0" w:tplc="E012AEEA">
      <w:numFmt w:val="bullet"/>
      <w:lvlText w:val=""/>
      <w:lvlJc w:val="left"/>
      <w:pPr>
        <w:ind w:left="720" w:hanging="360"/>
      </w:pPr>
      <w:rPr>
        <w:rFonts w:ascii="Wingdings" w:eastAsiaTheme="minorHAnsi" w:hAnsi="Wingdings" w:cstheme="minorBidi"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7F2E7A"/>
    <w:multiLevelType w:val="hybridMultilevel"/>
    <w:tmpl w:val="F26E0EB8"/>
    <w:lvl w:ilvl="0" w:tplc="040C0003">
      <w:start w:val="1"/>
      <w:numFmt w:val="bullet"/>
      <w:lvlText w:val="o"/>
      <w:lvlJc w:val="left"/>
      <w:pPr>
        <w:ind w:left="2280" w:hanging="360"/>
      </w:pPr>
      <w:rPr>
        <w:rFonts w:ascii="Courier New" w:hAnsi="Courier New" w:cs="Courier New"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10" w15:restartNumberingAfterBreak="0">
    <w:nsid w:val="3FE276F7"/>
    <w:multiLevelType w:val="hybridMultilevel"/>
    <w:tmpl w:val="63B693C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947BDE"/>
    <w:multiLevelType w:val="hybridMultilevel"/>
    <w:tmpl w:val="D8A8306C"/>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2" w15:restartNumberingAfterBreak="0">
    <w:nsid w:val="441C37A2"/>
    <w:multiLevelType w:val="hybridMultilevel"/>
    <w:tmpl w:val="DB388A20"/>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13" w15:restartNumberingAfterBreak="0">
    <w:nsid w:val="4BDF7A19"/>
    <w:multiLevelType w:val="hybridMultilevel"/>
    <w:tmpl w:val="DF94B2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E6B2B2D"/>
    <w:multiLevelType w:val="hybridMultilevel"/>
    <w:tmpl w:val="B8368CCE"/>
    <w:lvl w:ilvl="0" w:tplc="040C0003">
      <w:start w:val="1"/>
      <w:numFmt w:val="bullet"/>
      <w:lvlText w:val="o"/>
      <w:lvlJc w:val="left"/>
      <w:pPr>
        <w:ind w:left="2280" w:hanging="360"/>
      </w:pPr>
      <w:rPr>
        <w:rFonts w:ascii="Courier New" w:hAnsi="Courier New" w:cs="Courier New"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15" w15:restartNumberingAfterBreak="0">
    <w:nsid w:val="51601485"/>
    <w:multiLevelType w:val="hybridMultilevel"/>
    <w:tmpl w:val="1D98D3A0"/>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54C556EB"/>
    <w:multiLevelType w:val="hybridMultilevel"/>
    <w:tmpl w:val="EFD09C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558698C"/>
    <w:multiLevelType w:val="hybridMultilevel"/>
    <w:tmpl w:val="B170A3F2"/>
    <w:lvl w:ilvl="0" w:tplc="040C0003">
      <w:start w:val="1"/>
      <w:numFmt w:val="bullet"/>
      <w:lvlText w:val="o"/>
      <w:lvlJc w:val="left"/>
      <w:pPr>
        <w:ind w:left="2280" w:hanging="360"/>
      </w:pPr>
      <w:rPr>
        <w:rFonts w:ascii="Courier New" w:hAnsi="Courier New" w:cs="Courier New"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18" w15:restartNumberingAfterBreak="0">
    <w:nsid w:val="55B71BB5"/>
    <w:multiLevelType w:val="hybridMultilevel"/>
    <w:tmpl w:val="F0FC9600"/>
    <w:lvl w:ilvl="0" w:tplc="29C8449C">
      <w:numFmt w:val="bullet"/>
      <w:lvlText w:val=""/>
      <w:lvlJc w:val="left"/>
      <w:pPr>
        <w:ind w:left="720" w:hanging="360"/>
      </w:pPr>
      <w:rPr>
        <w:rFonts w:ascii="Wingdings" w:eastAsiaTheme="minorHAnsi" w:hAnsi="Wingdings" w:cstheme="minorBidi" w:hint="default"/>
        <w:b w:val="0"/>
        <w:i w:val="0"/>
        <w:color w:val="C0000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BB676B"/>
    <w:multiLevelType w:val="hybridMultilevel"/>
    <w:tmpl w:val="6DA274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64E036E8"/>
    <w:multiLevelType w:val="hybridMultilevel"/>
    <w:tmpl w:val="25AEE578"/>
    <w:lvl w:ilvl="0" w:tplc="040C0001">
      <w:start w:val="1"/>
      <w:numFmt w:val="bullet"/>
      <w:lvlText w:val=""/>
      <w:lvlJc w:val="left"/>
      <w:pPr>
        <w:ind w:left="3000" w:hanging="360"/>
      </w:pPr>
      <w:rPr>
        <w:rFonts w:ascii="Symbol" w:hAnsi="Symbol" w:hint="default"/>
      </w:rPr>
    </w:lvl>
    <w:lvl w:ilvl="1" w:tplc="040C0003" w:tentative="1">
      <w:start w:val="1"/>
      <w:numFmt w:val="bullet"/>
      <w:lvlText w:val="o"/>
      <w:lvlJc w:val="left"/>
      <w:pPr>
        <w:ind w:left="3720" w:hanging="360"/>
      </w:pPr>
      <w:rPr>
        <w:rFonts w:ascii="Courier New" w:hAnsi="Courier New" w:cs="Courier New" w:hint="default"/>
      </w:rPr>
    </w:lvl>
    <w:lvl w:ilvl="2" w:tplc="040C0005" w:tentative="1">
      <w:start w:val="1"/>
      <w:numFmt w:val="bullet"/>
      <w:lvlText w:val=""/>
      <w:lvlJc w:val="left"/>
      <w:pPr>
        <w:ind w:left="4440" w:hanging="360"/>
      </w:pPr>
      <w:rPr>
        <w:rFonts w:ascii="Wingdings" w:hAnsi="Wingdings" w:hint="default"/>
      </w:rPr>
    </w:lvl>
    <w:lvl w:ilvl="3" w:tplc="040C0001" w:tentative="1">
      <w:start w:val="1"/>
      <w:numFmt w:val="bullet"/>
      <w:lvlText w:val=""/>
      <w:lvlJc w:val="left"/>
      <w:pPr>
        <w:ind w:left="5160" w:hanging="360"/>
      </w:pPr>
      <w:rPr>
        <w:rFonts w:ascii="Symbol" w:hAnsi="Symbol" w:hint="default"/>
      </w:rPr>
    </w:lvl>
    <w:lvl w:ilvl="4" w:tplc="040C0003" w:tentative="1">
      <w:start w:val="1"/>
      <w:numFmt w:val="bullet"/>
      <w:lvlText w:val="o"/>
      <w:lvlJc w:val="left"/>
      <w:pPr>
        <w:ind w:left="5880" w:hanging="360"/>
      </w:pPr>
      <w:rPr>
        <w:rFonts w:ascii="Courier New" w:hAnsi="Courier New" w:cs="Courier New" w:hint="default"/>
      </w:rPr>
    </w:lvl>
    <w:lvl w:ilvl="5" w:tplc="040C0005" w:tentative="1">
      <w:start w:val="1"/>
      <w:numFmt w:val="bullet"/>
      <w:lvlText w:val=""/>
      <w:lvlJc w:val="left"/>
      <w:pPr>
        <w:ind w:left="6600" w:hanging="360"/>
      </w:pPr>
      <w:rPr>
        <w:rFonts w:ascii="Wingdings" w:hAnsi="Wingdings" w:hint="default"/>
      </w:rPr>
    </w:lvl>
    <w:lvl w:ilvl="6" w:tplc="040C0001" w:tentative="1">
      <w:start w:val="1"/>
      <w:numFmt w:val="bullet"/>
      <w:lvlText w:val=""/>
      <w:lvlJc w:val="left"/>
      <w:pPr>
        <w:ind w:left="7320" w:hanging="360"/>
      </w:pPr>
      <w:rPr>
        <w:rFonts w:ascii="Symbol" w:hAnsi="Symbol" w:hint="default"/>
      </w:rPr>
    </w:lvl>
    <w:lvl w:ilvl="7" w:tplc="040C0003" w:tentative="1">
      <w:start w:val="1"/>
      <w:numFmt w:val="bullet"/>
      <w:lvlText w:val="o"/>
      <w:lvlJc w:val="left"/>
      <w:pPr>
        <w:ind w:left="8040" w:hanging="360"/>
      </w:pPr>
      <w:rPr>
        <w:rFonts w:ascii="Courier New" w:hAnsi="Courier New" w:cs="Courier New" w:hint="default"/>
      </w:rPr>
    </w:lvl>
    <w:lvl w:ilvl="8" w:tplc="040C0005" w:tentative="1">
      <w:start w:val="1"/>
      <w:numFmt w:val="bullet"/>
      <w:lvlText w:val=""/>
      <w:lvlJc w:val="left"/>
      <w:pPr>
        <w:ind w:left="8760" w:hanging="360"/>
      </w:pPr>
      <w:rPr>
        <w:rFonts w:ascii="Wingdings" w:hAnsi="Wingdings" w:hint="default"/>
      </w:rPr>
    </w:lvl>
  </w:abstractNum>
  <w:abstractNum w:abstractNumId="21" w15:restartNumberingAfterBreak="0">
    <w:nsid w:val="6F236D4F"/>
    <w:multiLevelType w:val="hybridMultilevel"/>
    <w:tmpl w:val="8DD82D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6FE3EBA"/>
    <w:multiLevelType w:val="hybridMultilevel"/>
    <w:tmpl w:val="094019F8"/>
    <w:lvl w:ilvl="0" w:tplc="040C0001">
      <w:start w:val="1"/>
      <w:numFmt w:val="bullet"/>
      <w:lvlText w:val=""/>
      <w:lvlJc w:val="left"/>
      <w:pPr>
        <w:ind w:left="3000" w:hanging="360"/>
      </w:pPr>
      <w:rPr>
        <w:rFonts w:ascii="Symbol" w:hAnsi="Symbol" w:hint="default"/>
      </w:rPr>
    </w:lvl>
    <w:lvl w:ilvl="1" w:tplc="040C0003" w:tentative="1">
      <w:start w:val="1"/>
      <w:numFmt w:val="bullet"/>
      <w:lvlText w:val="o"/>
      <w:lvlJc w:val="left"/>
      <w:pPr>
        <w:ind w:left="3720" w:hanging="360"/>
      </w:pPr>
      <w:rPr>
        <w:rFonts w:ascii="Courier New" w:hAnsi="Courier New" w:cs="Courier New" w:hint="default"/>
      </w:rPr>
    </w:lvl>
    <w:lvl w:ilvl="2" w:tplc="040C0005" w:tentative="1">
      <w:start w:val="1"/>
      <w:numFmt w:val="bullet"/>
      <w:lvlText w:val=""/>
      <w:lvlJc w:val="left"/>
      <w:pPr>
        <w:ind w:left="4440" w:hanging="360"/>
      </w:pPr>
      <w:rPr>
        <w:rFonts w:ascii="Wingdings" w:hAnsi="Wingdings" w:hint="default"/>
      </w:rPr>
    </w:lvl>
    <w:lvl w:ilvl="3" w:tplc="040C0001" w:tentative="1">
      <w:start w:val="1"/>
      <w:numFmt w:val="bullet"/>
      <w:lvlText w:val=""/>
      <w:lvlJc w:val="left"/>
      <w:pPr>
        <w:ind w:left="5160" w:hanging="360"/>
      </w:pPr>
      <w:rPr>
        <w:rFonts w:ascii="Symbol" w:hAnsi="Symbol" w:hint="default"/>
      </w:rPr>
    </w:lvl>
    <w:lvl w:ilvl="4" w:tplc="040C0003" w:tentative="1">
      <w:start w:val="1"/>
      <w:numFmt w:val="bullet"/>
      <w:lvlText w:val="o"/>
      <w:lvlJc w:val="left"/>
      <w:pPr>
        <w:ind w:left="5880" w:hanging="360"/>
      </w:pPr>
      <w:rPr>
        <w:rFonts w:ascii="Courier New" w:hAnsi="Courier New" w:cs="Courier New" w:hint="default"/>
      </w:rPr>
    </w:lvl>
    <w:lvl w:ilvl="5" w:tplc="040C0005" w:tentative="1">
      <w:start w:val="1"/>
      <w:numFmt w:val="bullet"/>
      <w:lvlText w:val=""/>
      <w:lvlJc w:val="left"/>
      <w:pPr>
        <w:ind w:left="6600" w:hanging="360"/>
      </w:pPr>
      <w:rPr>
        <w:rFonts w:ascii="Wingdings" w:hAnsi="Wingdings" w:hint="default"/>
      </w:rPr>
    </w:lvl>
    <w:lvl w:ilvl="6" w:tplc="040C0001" w:tentative="1">
      <w:start w:val="1"/>
      <w:numFmt w:val="bullet"/>
      <w:lvlText w:val=""/>
      <w:lvlJc w:val="left"/>
      <w:pPr>
        <w:ind w:left="7320" w:hanging="360"/>
      </w:pPr>
      <w:rPr>
        <w:rFonts w:ascii="Symbol" w:hAnsi="Symbol" w:hint="default"/>
      </w:rPr>
    </w:lvl>
    <w:lvl w:ilvl="7" w:tplc="040C0003" w:tentative="1">
      <w:start w:val="1"/>
      <w:numFmt w:val="bullet"/>
      <w:lvlText w:val="o"/>
      <w:lvlJc w:val="left"/>
      <w:pPr>
        <w:ind w:left="8040" w:hanging="360"/>
      </w:pPr>
      <w:rPr>
        <w:rFonts w:ascii="Courier New" w:hAnsi="Courier New" w:cs="Courier New" w:hint="default"/>
      </w:rPr>
    </w:lvl>
    <w:lvl w:ilvl="8" w:tplc="040C0005" w:tentative="1">
      <w:start w:val="1"/>
      <w:numFmt w:val="bullet"/>
      <w:lvlText w:val=""/>
      <w:lvlJc w:val="left"/>
      <w:pPr>
        <w:ind w:left="8760" w:hanging="360"/>
      </w:pPr>
      <w:rPr>
        <w:rFonts w:ascii="Wingdings" w:hAnsi="Wingdings" w:hint="default"/>
      </w:rPr>
    </w:lvl>
  </w:abstractNum>
  <w:num w:numId="1">
    <w:abstractNumId w:val="0"/>
  </w:num>
  <w:num w:numId="2">
    <w:abstractNumId w:val="13"/>
  </w:num>
  <w:num w:numId="3">
    <w:abstractNumId w:val="21"/>
  </w:num>
  <w:num w:numId="4">
    <w:abstractNumId w:val="16"/>
  </w:num>
  <w:num w:numId="5">
    <w:abstractNumId w:val="19"/>
  </w:num>
  <w:num w:numId="6">
    <w:abstractNumId w:val="2"/>
  </w:num>
  <w:num w:numId="7">
    <w:abstractNumId w:val="8"/>
  </w:num>
  <w:num w:numId="8">
    <w:abstractNumId w:val="6"/>
  </w:num>
  <w:num w:numId="9">
    <w:abstractNumId w:val="18"/>
  </w:num>
  <w:num w:numId="10">
    <w:abstractNumId w:val="14"/>
  </w:num>
  <w:num w:numId="11">
    <w:abstractNumId w:val="11"/>
  </w:num>
  <w:num w:numId="12">
    <w:abstractNumId w:val="17"/>
  </w:num>
  <w:num w:numId="13">
    <w:abstractNumId w:val="20"/>
  </w:num>
  <w:num w:numId="14">
    <w:abstractNumId w:val="9"/>
  </w:num>
  <w:num w:numId="15">
    <w:abstractNumId w:val="3"/>
  </w:num>
  <w:num w:numId="16">
    <w:abstractNumId w:val="4"/>
  </w:num>
  <w:num w:numId="17">
    <w:abstractNumId w:val="22"/>
  </w:num>
  <w:num w:numId="18">
    <w:abstractNumId w:val="1"/>
  </w:num>
  <w:num w:numId="19">
    <w:abstractNumId w:val="7"/>
  </w:num>
  <w:num w:numId="20">
    <w:abstractNumId w:val="5"/>
  </w:num>
  <w:num w:numId="21">
    <w:abstractNumId w:val="15"/>
  </w:num>
  <w:num w:numId="22">
    <w:abstractNumId w:val="1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D1"/>
    <w:rsid w:val="000205B4"/>
    <w:rsid w:val="000579B2"/>
    <w:rsid w:val="00072B6C"/>
    <w:rsid w:val="0014394F"/>
    <w:rsid w:val="00186CD5"/>
    <w:rsid w:val="001F6AB9"/>
    <w:rsid w:val="00250503"/>
    <w:rsid w:val="0025104A"/>
    <w:rsid w:val="00273F0A"/>
    <w:rsid w:val="0033287C"/>
    <w:rsid w:val="0034566B"/>
    <w:rsid w:val="004471D1"/>
    <w:rsid w:val="00470594"/>
    <w:rsid w:val="00526625"/>
    <w:rsid w:val="00554F14"/>
    <w:rsid w:val="005B050B"/>
    <w:rsid w:val="0061450D"/>
    <w:rsid w:val="006644B2"/>
    <w:rsid w:val="006754D0"/>
    <w:rsid w:val="00734F1B"/>
    <w:rsid w:val="007C1278"/>
    <w:rsid w:val="00861264"/>
    <w:rsid w:val="008F0DC7"/>
    <w:rsid w:val="00936547"/>
    <w:rsid w:val="009E7C8D"/>
    <w:rsid w:val="00A1690B"/>
    <w:rsid w:val="00A80F10"/>
    <w:rsid w:val="00B432ED"/>
    <w:rsid w:val="00B7265B"/>
    <w:rsid w:val="00BC63D7"/>
    <w:rsid w:val="00C331EA"/>
    <w:rsid w:val="00C80EFE"/>
    <w:rsid w:val="00CD1879"/>
    <w:rsid w:val="00CE47D1"/>
    <w:rsid w:val="00D34273"/>
    <w:rsid w:val="00D806C2"/>
    <w:rsid w:val="00DC36D8"/>
    <w:rsid w:val="00E01806"/>
    <w:rsid w:val="00E2356D"/>
    <w:rsid w:val="00E365BE"/>
    <w:rsid w:val="00E71160"/>
    <w:rsid w:val="00E77183"/>
    <w:rsid w:val="00F10DBB"/>
    <w:rsid w:val="00F3500B"/>
    <w:rsid w:val="00FC53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C31908"/>
  <w15:chartTrackingRefBased/>
  <w15:docId w15:val="{D50D74A9-38AB-4799-8ADD-56876674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47D1"/>
    <w:pPr>
      <w:tabs>
        <w:tab w:val="center" w:pos="4536"/>
        <w:tab w:val="right" w:pos="9072"/>
      </w:tabs>
      <w:spacing w:after="0" w:line="240" w:lineRule="auto"/>
    </w:pPr>
  </w:style>
  <w:style w:type="character" w:customStyle="1" w:styleId="En-tteCar">
    <w:name w:val="En-tête Car"/>
    <w:basedOn w:val="Policepardfaut"/>
    <w:link w:val="En-tte"/>
    <w:uiPriority w:val="99"/>
    <w:rsid w:val="00CE47D1"/>
  </w:style>
  <w:style w:type="paragraph" w:styleId="Pieddepage">
    <w:name w:val="footer"/>
    <w:basedOn w:val="Normal"/>
    <w:link w:val="PieddepageCar"/>
    <w:uiPriority w:val="99"/>
    <w:unhideWhenUsed/>
    <w:rsid w:val="00CE47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47D1"/>
  </w:style>
  <w:style w:type="paragraph" w:styleId="Paragraphedeliste">
    <w:name w:val="List Paragraph"/>
    <w:basedOn w:val="Normal"/>
    <w:uiPriority w:val="34"/>
    <w:qFormat/>
    <w:rsid w:val="00CE47D1"/>
    <w:pPr>
      <w:ind w:left="720"/>
      <w:contextualSpacing/>
    </w:pPr>
  </w:style>
  <w:style w:type="character" w:styleId="Lienhypertexte">
    <w:name w:val="Hyperlink"/>
    <w:basedOn w:val="Policepardfaut"/>
    <w:uiPriority w:val="99"/>
    <w:unhideWhenUsed/>
    <w:rsid w:val="008F0DC7"/>
    <w:rPr>
      <w:color w:val="0000FF"/>
      <w:u w:val="single"/>
    </w:rPr>
  </w:style>
  <w:style w:type="table" w:styleId="Grilledutableau">
    <w:name w:val="Table Grid"/>
    <w:basedOn w:val="TableauNormal"/>
    <w:uiPriority w:val="39"/>
    <w:rsid w:val="00273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FC53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671</Words>
  <Characters>3696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ARS</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 Marjorie</dc:creator>
  <cp:keywords/>
  <dc:description/>
  <cp:lastModifiedBy>BLIN, Marjorie</cp:lastModifiedBy>
  <cp:revision>25</cp:revision>
  <dcterms:created xsi:type="dcterms:W3CDTF">2020-10-16T12:52:00Z</dcterms:created>
  <dcterms:modified xsi:type="dcterms:W3CDTF">2022-01-17T08:09:00Z</dcterms:modified>
</cp:coreProperties>
</file>