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8F404B" w:rsidP="00E77183">
            <w:r>
              <w:rPr>
                <w:sz w:val="24"/>
              </w:rPr>
              <w:t>HVCVL/ES/TRANSFUSION/SYNTHESE-ACTE-TRANSFUSIONNEL</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97762A">
            <w:pPr>
              <w:rPr>
                <w:sz w:val="18"/>
              </w:rPr>
            </w:pPr>
            <w:r w:rsidRPr="00B432ED">
              <w:rPr>
                <w:sz w:val="18"/>
              </w:rPr>
              <w:t xml:space="preserve">Date de diffusion : </w:t>
            </w:r>
            <w:r w:rsidR="0097762A">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D11C8E">
            <w:pPr>
              <w:rPr>
                <w:sz w:val="18"/>
              </w:rPr>
            </w:pPr>
            <w:r w:rsidRPr="00B432ED">
              <w:rPr>
                <w:sz w:val="18"/>
              </w:rPr>
              <w:t xml:space="preserve">Version : </w:t>
            </w:r>
            <w:r w:rsidR="00D11C8E" w:rsidRPr="0097762A">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8F404B" w:rsidP="00FC530B">
                            <w:pPr>
                              <w:rPr>
                                <w:b/>
                                <w:sz w:val="28"/>
                              </w:rPr>
                            </w:pPr>
                            <w:r>
                              <w:rPr>
                                <w:b/>
                                <w:sz w:val="28"/>
                              </w:rPr>
                              <w:t>Synthèse de l’acte transfusionnel</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8F404B" w:rsidP="00FC530B">
                      <w:pPr>
                        <w:rPr>
                          <w:b/>
                          <w:sz w:val="28"/>
                        </w:rPr>
                      </w:pPr>
                      <w:r>
                        <w:rPr>
                          <w:b/>
                          <w:sz w:val="28"/>
                        </w:rPr>
                        <w:t>Synthèse de l’acte transfusionnel</w:t>
                      </w:r>
                      <w:r w:rsidR="00FC530B" w:rsidRPr="00FC530B">
                        <w:rPr>
                          <w:b/>
                          <w:sz w:val="28"/>
                        </w:rPr>
                        <w:t xml:space="preserve"> </w:t>
                      </w:r>
                    </w:p>
                  </w:txbxContent>
                </v:textbox>
                <w10:wrap anchorx="margin"/>
              </v:rect>
            </w:pict>
          </mc:Fallback>
        </mc:AlternateContent>
      </w:r>
    </w:p>
    <w:p w:rsidR="00470594" w:rsidRDefault="00470594"/>
    <w:p w:rsidR="00470594" w:rsidRPr="00E77183" w:rsidRDefault="00E77183">
      <w:pPr>
        <w:rPr>
          <w:b/>
          <w:i/>
        </w:rPr>
      </w:pPr>
      <w:r w:rsidRPr="00E77183">
        <w:rPr>
          <w:b/>
          <w:i/>
          <w:u w:val="single"/>
        </w:rPr>
        <w:t>Objectifs</w:t>
      </w:r>
      <w:r w:rsidRPr="00E77183">
        <w:rPr>
          <w:b/>
          <w:i/>
        </w:rPr>
        <w:t> :</w:t>
      </w:r>
    </w:p>
    <w:p w:rsidR="008F404B" w:rsidRPr="008F404B" w:rsidRDefault="008F404B" w:rsidP="008F404B">
      <w:pPr>
        <w:spacing w:after="0"/>
        <w:rPr>
          <w:rFonts w:ascii="Calibri" w:hAnsi="Calibri"/>
        </w:rPr>
      </w:pPr>
      <w:r w:rsidRPr="008F404B">
        <w:rPr>
          <w:rFonts w:ascii="Calibri" w:hAnsi="Calibri"/>
        </w:rPr>
        <w:t>Conduite à tenir en milieu hospitalier</w:t>
      </w:r>
    </w:p>
    <w:p w:rsidR="00E77183" w:rsidRPr="008F404B" w:rsidRDefault="008F404B" w:rsidP="008F404B">
      <w:pPr>
        <w:spacing w:after="0"/>
      </w:pPr>
      <w:r w:rsidRPr="008F404B">
        <w:rPr>
          <w:rFonts w:ascii="Calibri" w:hAnsi="Calibri"/>
        </w:rPr>
        <w:t>Synthèse du cadre légal et règlementaire français au 01.01.2018</w:t>
      </w:r>
    </w:p>
    <w:p w:rsidR="00470594" w:rsidRDefault="00E77183">
      <w:r w:rsidRPr="00E77183">
        <w:rPr>
          <w:b/>
          <w:i/>
          <w:u w:val="single"/>
        </w:rPr>
        <w:t>Textes de références</w:t>
      </w:r>
      <w:r>
        <w:t> :</w:t>
      </w:r>
    </w:p>
    <w:p w:rsidR="008E47F1" w:rsidRPr="005F1AB1" w:rsidRDefault="008E47F1" w:rsidP="005F1AB1">
      <w:pPr>
        <w:numPr>
          <w:ilvl w:val="0"/>
          <w:numId w:val="19"/>
        </w:numPr>
        <w:spacing w:after="0" w:line="240" w:lineRule="auto"/>
        <w:ind w:left="567"/>
        <w:contextualSpacing/>
        <w:rPr>
          <w:rFonts w:ascii="Calibri" w:eastAsia="Calibri" w:hAnsi="Calibri" w:cs="Times New Roman"/>
          <w:sz w:val="24"/>
        </w:rPr>
      </w:pPr>
      <w:r w:rsidRPr="005F1AB1">
        <w:rPr>
          <w:rFonts w:ascii="Calibri" w:eastAsia="Times New Roman" w:hAnsi="Calibri" w:cs="Arial"/>
          <w:szCs w:val="24"/>
          <w:lang w:eastAsia="fr-FR"/>
        </w:rPr>
        <w:t>Instruction N° DGS/PP4/DGOS/PF2/2021/230 du 16 novembre 2021 concernant la réalisation de l’acte transfusionnel</w:t>
      </w:r>
    </w:p>
    <w:p w:rsidR="00044637" w:rsidRDefault="00044637" w:rsidP="00044637">
      <w:pPr>
        <w:pStyle w:val="Paragraphedeliste"/>
        <w:spacing w:after="0"/>
        <w:ind w:left="567"/>
        <w:rPr>
          <w:highlight w:val="yellow"/>
        </w:rPr>
      </w:pPr>
    </w:p>
    <w:p w:rsidR="00044637" w:rsidRPr="008E47F1" w:rsidRDefault="00044637" w:rsidP="00044637">
      <w:pPr>
        <w:pStyle w:val="Paragraphedeliste"/>
        <w:numPr>
          <w:ilvl w:val="0"/>
          <w:numId w:val="18"/>
        </w:numPr>
        <w:spacing w:after="0"/>
        <w:ind w:left="567"/>
      </w:pPr>
      <w:r w:rsidRPr="008E47F1">
        <w:rPr>
          <w:rFonts w:eastAsia="Times New Roman" w:cstheme="minorHAnsi"/>
          <w:kern w:val="36"/>
          <w:lang w:eastAsia="fr-FR"/>
        </w:rPr>
        <w:t>Décret n° 2019-1036 du 8 octobre 2019 modifiant le décret n° 2017-412 du 27 mars 2017 relatif à l'utilisation du numéro d'inscription au répertoire national d'identification des personnes physiques comme identifiant national de santé et les articles R. 1111-8-1 à R. 1111-8-7 du code de la santé publique</w:t>
      </w:r>
    </w:p>
    <w:p w:rsidR="00044637" w:rsidRPr="00DE3166" w:rsidRDefault="00044637" w:rsidP="00044637">
      <w:pPr>
        <w:pStyle w:val="Paragraphedeliste"/>
        <w:spacing w:after="0"/>
        <w:ind w:left="567"/>
        <w:rPr>
          <w:highlight w:val="yellow"/>
        </w:rPr>
      </w:pPr>
    </w:p>
    <w:p w:rsidR="00470594" w:rsidRDefault="00470594">
      <w:bookmarkStart w:id="0" w:name="_GoBack"/>
      <w:bookmarkEnd w:id="0"/>
    </w:p>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gramStart"/>
            <w:r w:rsidRPr="00F72E1E">
              <w:rPr>
                <w:sz w:val="18"/>
              </w:rPr>
              <w:t>Dr.SAPEY</w:t>
            </w:r>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8F404B" w:rsidRPr="008F404B" w:rsidRDefault="008F404B" w:rsidP="008F404B">
      <w:pPr>
        <w:rPr>
          <w:rFonts w:ascii="Calibri" w:hAnsi="Calibri"/>
          <w:i/>
          <w:color w:val="5F497A"/>
          <w:sz w:val="28"/>
          <w:u w:val="single"/>
        </w:rPr>
      </w:pPr>
      <w:r w:rsidRPr="008F404B">
        <w:rPr>
          <w:rFonts w:ascii="Calibri" w:hAnsi="Calibri"/>
          <w:b/>
          <w:i/>
          <w:sz w:val="24"/>
          <w:u w:val="single"/>
        </w:rPr>
        <w:lastRenderedPageBreak/>
        <w:t>Au plan légal :</w:t>
      </w:r>
      <w:r w:rsidRPr="008F404B">
        <w:rPr>
          <w:sz w:val="24"/>
          <w:szCs w:val="28"/>
          <w:u w:val="single"/>
        </w:rPr>
        <w:t xml:space="preserve"> </w:t>
      </w:r>
      <w:r w:rsidRPr="008F404B">
        <w:rPr>
          <w:rFonts w:cstheme="minorHAnsi"/>
          <w:i/>
          <w:color w:val="548DD4"/>
          <w:sz w:val="24"/>
          <w:szCs w:val="28"/>
          <w:u w:val="single"/>
        </w:rPr>
        <w:t>Article L. 1111-4 du Code de santé publique</w:t>
      </w:r>
      <w:r w:rsidRPr="008F404B">
        <w:rPr>
          <w:rFonts w:cstheme="minorHAnsi"/>
          <w:i/>
          <w:color w:val="548DD4"/>
          <w:sz w:val="24"/>
          <w:szCs w:val="28"/>
          <w:u w:val="single"/>
          <w:lang w:eastAsia="fr-FR"/>
        </w:rPr>
        <w:t xml:space="preserve"> (CSP)</w:t>
      </w:r>
      <w:r w:rsidRPr="008F404B">
        <w:rPr>
          <w:rFonts w:cstheme="minorHAnsi"/>
          <w:color w:val="548DD4"/>
          <w:sz w:val="24"/>
          <w:szCs w:val="28"/>
          <w:lang w:eastAsia="fr-FR"/>
        </w:rPr>
        <w:t> :</w:t>
      </w: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lang w:eastAsia="fr-FR"/>
        </w:rPr>
      </w:pPr>
      <w:r w:rsidRPr="00FB3F50">
        <w:rPr>
          <w:rFonts w:cstheme="minorHAnsi"/>
          <w:lang w:eastAsia="fr-FR"/>
        </w:rPr>
        <w:t xml:space="preserve">Toute personne prend, avec le professionnel de santé et compte tenu des informations et des préconisations qu'il lui fournit, les décisions concernant sa santé. </w:t>
      </w:r>
    </w:p>
    <w:p w:rsidR="008F404B" w:rsidRPr="00FB3F50" w:rsidRDefault="008F404B" w:rsidP="008F404B">
      <w:pPr>
        <w:pStyle w:val="Paragraphedeliste"/>
        <w:spacing w:before="100" w:beforeAutospacing="1" w:after="100" w:afterAutospacing="1"/>
        <w:ind w:left="567" w:hanging="283"/>
        <w:jc w:val="both"/>
        <w:rPr>
          <w:rFonts w:cstheme="minorHAnsi"/>
          <w:lang w:eastAsia="fr-FR"/>
        </w:rPr>
      </w:pP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lang w:eastAsia="fr-FR"/>
        </w:rPr>
      </w:pPr>
      <w:r w:rsidRPr="00FB3F50">
        <w:rPr>
          <w:rFonts w:cstheme="minorHAnsi"/>
          <w:color w:val="FF0000"/>
          <w:lang w:eastAsia="fr-FR"/>
        </w:rPr>
        <w:t>Toute personne a le droit de refuser ou de ne pas recevoir un traitement</w:t>
      </w:r>
      <w:r w:rsidRPr="00FB3F50">
        <w:rPr>
          <w:rFonts w:cstheme="minorHAnsi"/>
          <w:lang w:eastAsia="fr-FR"/>
        </w:rPr>
        <w:t>. Le suivi du malade reste cependant assuré par le médecin, notamment son accompagnement palliatif.</w:t>
      </w:r>
    </w:p>
    <w:p w:rsidR="008F404B" w:rsidRPr="00FB3F50" w:rsidRDefault="008F404B" w:rsidP="008F404B">
      <w:pPr>
        <w:pStyle w:val="Paragraphedeliste"/>
        <w:spacing w:before="100" w:beforeAutospacing="1" w:after="100" w:afterAutospacing="1"/>
        <w:ind w:left="567" w:hanging="283"/>
        <w:jc w:val="both"/>
        <w:rPr>
          <w:rFonts w:cstheme="minorHAnsi"/>
          <w:lang w:eastAsia="fr-FR"/>
        </w:rPr>
      </w:pPr>
      <w:r w:rsidRPr="00FB3F50">
        <w:rPr>
          <w:rFonts w:cstheme="minorHAnsi"/>
          <w:lang w:eastAsia="fr-FR"/>
        </w:rPr>
        <w:t xml:space="preserve"> </w:t>
      </w: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color w:val="1F497D"/>
          <w:lang w:eastAsia="fr-FR"/>
        </w:rPr>
      </w:pPr>
      <w:r w:rsidRPr="00FB3F50">
        <w:rPr>
          <w:rFonts w:cstheme="minorHAnsi"/>
          <w:color w:val="FF0000"/>
          <w:lang w:eastAsia="fr-FR"/>
        </w:rPr>
        <w:t>Le médecin a l'obligation de respecter la volonté de la personne après l'avoir informée des conséquences de ses choix et de leur gravité. Si, par sa volonté de refuser ou d'interrompre tout traitement, la personne met sa vie en danger, elle doit réitérer sa décision dans un délai raisonnable</w:t>
      </w:r>
      <w:r w:rsidRPr="00FB3F50">
        <w:rPr>
          <w:rFonts w:cstheme="minorHAnsi"/>
          <w:lang w:eastAsia="fr-FR"/>
        </w:rPr>
        <w:t xml:space="preserve">. Elle peut faire appel à un autre membre du corps médical. </w:t>
      </w:r>
      <w:r w:rsidRPr="00FB3F50">
        <w:rPr>
          <w:rFonts w:cstheme="minorHAnsi"/>
          <w:u w:val="single"/>
          <w:lang w:eastAsia="fr-FR"/>
        </w:rPr>
        <w:t>L'ensem</w:t>
      </w:r>
      <w:r>
        <w:rPr>
          <w:rFonts w:cstheme="minorHAnsi"/>
          <w:u w:val="single"/>
          <w:lang w:eastAsia="fr-FR"/>
        </w:rPr>
        <w:t>ble de la procédure est inscrit</w:t>
      </w:r>
      <w:r w:rsidRPr="00FB3F50">
        <w:rPr>
          <w:rFonts w:cstheme="minorHAnsi"/>
          <w:u w:val="single"/>
          <w:lang w:eastAsia="fr-FR"/>
        </w:rPr>
        <w:t xml:space="preserve"> dans le dossier médical du patient</w:t>
      </w:r>
      <w:r w:rsidRPr="00FB3F50">
        <w:rPr>
          <w:rFonts w:cstheme="minorHAnsi"/>
          <w:lang w:eastAsia="fr-FR"/>
        </w:rPr>
        <w:t xml:space="preserve">. Le médecin sauvegarde la dignité du mourant et assure la qualité de sa fin de vie en dispensant les soins palliatifs mentionnés à l'article </w:t>
      </w:r>
      <w:hyperlink r:id="rId7" w:history="1">
        <w:r w:rsidRPr="00FB3F50">
          <w:rPr>
            <w:rStyle w:val="Lienhypertexte"/>
            <w:rFonts w:cstheme="minorHAnsi"/>
            <w:lang w:eastAsia="fr-FR"/>
          </w:rPr>
          <w:t>L. 1110-10</w:t>
        </w:r>
      </w:hyperlink>
      <w:r w:rsidRPr="00FB3F50">
        <w:rPr>
          <w:rFonts w:cstheme="minorHAnsi"/>
          <w:lang w:eastAsia="fr-FR"/>
        </w:rPr>
        <w:t xml:space="preserve">. </w:t>
      </w:r>
    </w:p>
    <w:p w:rsidR="008F404B" w:rsidRPr="00FB3F50" w:rsidRDefault="008F404B" w:rsidP="008F404B">
      <w:pPr>
        <w:pStyle w:val="Paragraphedeliste"/>
        <w:spacing w:before="100" w:beforeAutospacing="1" w:after="100" w:afterAutospacing="1"/>
        <w:ind w:left="888" w:hanging="283"/>
        <w:jc w:val="both"/>
        <w:rPr>
          <w:rFonts w:cstheme="minorHAnsi"/>
          <w:color w:val="1F497D"/>
          <w:lang w:eastAsia="fr-FR"/>
        </w:rPr>
      </w:pP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color w:val="1F497D"/>
          <w:lang w:eastAsia="fr-FR"/>
        </w:rPr>
      </w:pPr>
      <w:r w:rsidRPr="00FB3F50">
        <w:rPr>
          <w:rFonts w:cstheme="minorHAnsi"/>
          <w:color w:val="FF0000"/>
          <w:lang w:eastAsia="fr-FR"/>
        </w:rPr>
        <w:t>Aucun acte médical ni aucun traitement ne peut être pratiqué sans le consentement libre et éclairé de la personne</w:t>
      </w:r>
      <w:r w:rsidRPr="00FB3F50">
        <w:rPr>
          <w:rFonts w:cstheme="minorHAnsi"/>
          <w:lang w:eastAsia="fr-FR"/>
        </w:rPr>
        <w:t xml:space="preserve"> et ce consentement peut être retiré à tout moment. </w:t>
      </w:r>
    </w:p>
    <w:p w:rsidR="008F404B" w:rsidRPr="00FB3F50" w:rsidRDefault="008F404B" w:rsidP="008F404B">
      <w:pPr>
        <w:pStyle w:val="Paragraphedeliste"/>
        <w:spacing w:before="100" w:beforeAutospacing="1" w:after="100" w:afterAutospacing="1"/>
        <w:ind w:left="567" w:hanging="283"/>
        <w:jc w:val="both"/>
        <w:rPr>
          <w:rFonts w:cstheme="minorHAnsi"/>
          <w:color w:val="1F497D"/>
          <w:lang w:eastAsia="fr-FR"/>
        </w:rPr>
      </w:pP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lang w:eastAsia="fr-FR"/>
        </w:rPr>
      </w:pPr>
      <w:r w:rsidRPr="00FB3F50">
        <w:rPr>
          <w:rFonts w:cstheme="minorHAnsi"/>
          <w:lang w:eastAsia="fr-FR"/>
        </w:rPr>
        <w:t xml:space="preserve">Lorsque la personne est hors d'état d'exprimer sa volonté, aucune intervention ou investigation ne peut être réalisée, sauf urgence ou impossibilité, sans que la personne de confiance prévue à l'article </w:t>
      </w:r>
      <w:hyperlink r:id="rId8" w:history="1">
        <w:r w:rsidRPr="00FB3F50">
          <w:rPr>
            <w:rStyle w:val="Lienhypertexte"/>
            <w:rFonts w:cstheme="minorHAnsi"/>
            <w:lang w:eastAsia="fr-FR"/>
          </w:rPr>
          <w:t>L. 1111-6</w:t>
        </w:r>
      </w:hyperlink>
      <w:r w:rsidRPr="00FB3F50">
        <w:rPr>
          <w:rFonts w:cstheme="minorHAnsi"/>
          <w:lang w:eastAsia="fr-FR"/>
        </w:rPr>
        <w:t xml:space="preserve">, ou la famille, ou à défaut, un de ses proches ait été consulté. </w:t>
      </w:r>
    </w:p>
    <w:p w:rsidR="008F404B" w:rsidRPr="00FB3F50" w:rsidRDefault="008F404B" w:rsidP="008F404B">
      <w:pPr>
        <w:pStyle w:val="Paragraphedeliste"/>
        <w:spacing w:before="100" w:beforeAutospacing="1" w:after="100" w:afterAutospacing="1"/>
        <w:ind w:left="567" w:hanging="283"/>
        <w:jc w:val="both"/>
        <w:rPr>
          <w:rFonts w:cstheme="minorHAnsi"/>
          <w:lang w:eastAsia="fr-FR"/>
        </w:rPr>
      </w:pPr>
    </w:p>
    <w:p w:rsidR="008F404B" w:rsidRDefault="008F404B" w:rsidP="008F404B">
      <w:pPr>
        <w:pStyle w:val="Paragraphedeliste"/>
        <w:numPr>
          <w:ilvl w:val="0"/>
          <w:numId w:val="15"/>
        </w:numPr>
        <w:spacing w:before="100" w:beforeAutospacing="1" w:after="100" w:afterAutospacing="1"/>
        <w:ind w:left="567" w:hanging="283"/>
        <w:jc w:val="both"/>
        <w:rPr>
          <w:rFonts w:cstheme="minorHAnsi"/>
          <w:lang w:eastAsia="fr-FR"/>
        </w:rPr>
      </w:pPr>
      <w:r w:rsidRPr="00FB3F50">
        <w:rPr>
          <w:rFonts w:cstheme="minorHAnsi"/>
          <w:lang w:eastAsia="fr-FR"/>
        </w:rPr>
        <w:t xml:space="preserve">Lorsque la personne est hors d'état d'exprimer sa volonté, la limitation ou l'arrêt de traitement susceptible d'entraîner son décès ne peut être réalisé sans avoir respecté la procédure collégiale mentionnée à l'article </w:t>
      </w:r>
      <w:hyperlink r:id="rId9" w:history="1">
        <w:r w:rsidRPr="00FB3F50">
          <w:rPr>
            <w:rStyle w:val="Lienhypertexte"/>
            <w:rFonts w:cstheme="minorHAnsi"/>
            <w:lang w:eastAsia="fr-FR"/>
          </w:rPr>
          <w:t>L. 1110-5-1</w:t>
        </w:r>
      </w:hyperlink>
      <w:r w:rsidRPr="00FB3F50">
        <w:rPr>
          <w:rFonts w:cstheme="minorHAnsi"/>
          <w:lang w:eastAsia="fr-FR"/>
        </w:rPr>
        <w:t xml:space="preserve"> et les directives anticipées ou, à défaut, sans que la personne de confiance prévue à l'article L. 1111-6 ou, à défaut la famille ou les proches, aient été consultés. La décision motivée de limitation ou d'arrêt de traitement est inscrite dans le dossier médical. </w:t>
      </w:r>
    </w:p>
    <w:p w:rsidR="008F404B" w:rsidRPr="00FB3F50" w:rsidRDefault="008F404B" w:rsidP="008F404B">
      <w:pPr>
        <w:pStyle w:val="Paragraphedeliste"/>
        <w:spacing w:before="100" w:beforeAutospacing="1" w:after="100" w:afterAutospacing="1"/>
        <w:ind w:left="1029" w:hanging="283"/>
        <w:jc w:val="both"/>
        <w:rPr>
          <w:rFonts w:cstheme="minorHAnsi"/>
          <w:lang w:eastAsia="fr-FR"/>
        </w:rPr>
      </w:pPr>
    </w:p>
    <w:p w:rsidR="008F404B" w:rsidRPr="00FB3F50" w:rsidRDefault="008F404B" w:rsidP="008F404B">
      <w:pPr>
        <w:pStyle w:val="Paragraphedeliste"/>
        <w:numPr>
          <w:ilvl w:val="0"/>
          <w:numId w:val="15"/>
        </w:numPr>
        <w:spacing w:before="100" w:beforeAutospacing="1" w:after="100" w:afterAutospacing="1"/>
        <w:ind w:left="567" w:hanging="283"/>
        <w:jc w:val="both"/>
        <w:rPr>
          <w:rFonts w:cstheme="minorHAnsi"/>
          <w:lang w:eastAsia="fr-FR"/>
        </w:rPr>
      </w:pPr>
      <w:r w:rsidRPr="00FB3F50">
        <w:rPr>
          <w:rFonts w:cstheme="minorHAnsi"/>
          <w:lang w:eastAsia="fr-FR"/>
        </w:rPr>
        <w:t xml:space="preserve">Le consentement du mineur ou du majeur sous tutelle doit être systématiquement recherché s'il est apte à exprimer sa volonté et à participer à la décision. Dans le cas où le refus d'un traitement par la personne titulaire de l'autorité parentale ou par le tuteur risque d'entraîner des conséquences graves pour la santé du mineur ou du majeur sous tutelle, le médecin délivre les soins indispensables. </w:t>
      </w:r>
    </w:p>
    <w:p w:rsidR="008F404B" w:rsidRDefault="008F404B" w:rsidP="008F404B">
      <w:pPr>
        <w:ind w:left="1560"/>
        <w:rPr>
          <w:rFonts w:ascii="Calibri" w:hAnsi="Calibri"/>
        </w:rPr>
      </w:pPr>
    </w:p>
    <w:p w:rsidR="008F404B" w:rsidRPr="008F404B" w:rsidRDefault="008F404B" w:rsidP="008F404B">
      <w:pPr>
        <w:rPr>
          <w:rFonts w:ascii="Calibri" w:hAnsi="Calibri"/>
          <w:i/>
          <w:color w:val="5F497A"/>
          <w:sz w:val="24"/>
          <w:u w:val="single"/>
        </w:rPr>
      </w:pPr>
      <w:r w:rsidRPr="008F404B">
        <w:rPr>
          <w:rFonts w:ascii="Calibri" w:hAnsi="Calibri"/>
          <w:b/>
          <w:i/>
          <w:sz w:val="24"/>
          <w:szCs w:val="24"/>
          <w:u w:val="single"/>
        </w:rPr>
        <w:t>Au plan réglementaire </w:t>
      </w:r>
      <w:r w:rsidRPr="008F404B">
        <w:rPr>
          <w:rFonts w:cstheme="minorHAnsi"/>
          <w:b/>
          <w:i/>
          <w:sz w:val="24"/>
          <w:szCs w:val="24"/>
          <w:u w:val="single"/>
        </w:rPr>
        <w:t>:</w:t>
      </w:r>
      <w:r w:rsidRPr="008F404B">
        <w:rPr>
          <w:rFonts w:cstheme="minorHAnsi"/>
          <w:sz w:val="24"/>
          <w:szCs w:val="28"/>
          <w:u w:val="single"/>
          <w:lang w:eastAsia="fr-FR"/>
        </w:rPr>
        <w:t xml:space="preserve"> </w:t>
      </w:r>
      <w:r w:rsidRPr="008F404B">
        <w:rPr>
          <w:rFonts w:cstheme="minorHAnsi"/>
          <w:i/>
          <w:color w:val="548DD4"/>
          <w:sz w:val="24"/>
          <w:szCs w:val="28"/>
          <w:u w:val="single"/>
          <w:lang w:eastAsia="fr-FR"/>
        </w:rPr>
        <w:t>Article R4127-36 du Code de santé publique</w:t>
      </w:r>
    </w:p>
    <w:p w:rsidR="008F404B" w:rsidRPr="00A52B05" w:rsidRDefault="008F404B" w:rsidP="008F404B">
      <w:pPr>
        <w:pStyle w:val="Paragraphedeliste"/>
        <w:numPr>
          <w:ilvl w:val="0"/>
          <w:numId w:val="16"/>
        </w:numPr>
        <w:spacing w:before="100" w:beforeAutospacing="1" w:after="100" w:afterAutospacing="1"/>
        <w:ind w:left="567"/>
        <w:jc w:val="both"/>
        <w:rPr>
          <w:rFonts w:cstheme="minorHAnsi"/>
          <w:szCs w:val="24"/>
          <w:lang w:eastAsia="fr-FR"/>
        </w:rPr>
      </w:pPr>
      <w:r w:rsidRPr="00A52B05">
        <w:rPr>
          <w:rFonts w:cstheme="minorHAnsi"/>
          <w:szCs w:val="24"/>
          <w:lang w:eastAsia="fr-FR"/>
        </w:rPr>
        <w:t xml:space="preserve">Le consentement de la personne examinée ou soignée doit être recherché dans tous les cas. </w:t>
      </w:r>
    </w:p>
    <w:p w:rsidR="008F404B" w:rsidRPr="00A52B05" w:rsidRDefault="008F404B" w:rsidP="008F404B">
      <w:pPr>
        <w:pStyle w:val="Paragraphedeliste"/>
        <w:spacing w:before="100" w:beforeAutospacing="1" w:after="100" w:afterAutospacing="1"/>
        <w:ind w:left="888" w:hanging="284"/>
        <w:jc w:val="both"/>
        <w:rPr>
          <w:rFonts w:cstheme="minorHAnsi"/>
          <w:szCs w:val="24"/>
          <w:lang w:eastAsia="fr-FR"/>
        </w:rPr>
      </w:pPr>
    </w:p>
    <w:p w:rsidR="008F404B" w:rsidRPr="00A52B05" w:rsidRDefault="008F404B" w:rsidP="008F404B">
      <w:pPr>
        <w:pStyle w:val="Paragraphedeliste"/>
        <w:numPr>
          <w:ilvl w:val="0"/>
          <w:numId w:val="16"/>
        </w:numPr>
        <w:spacing w:before="100" w:beforeAutospacing="1" w:after="100" w:afterAutospacing="1"/>
        <w:ind w:left="567"/>
        <w:jc w:val="both"/>
        <w:rPr>
          <w:rFonts w:cstheme="minorHAnsi"/>
          <w:szCs w:val="24"/>
          <w:lang w:eastAsia="fr-FR"/>
        </w:rPr>
      </w:pPr>
      <w:r w:rsidRPr="00A52B05">
        <w:rPr>
          <w:rFonts w:cstheme="minorHAnsi"/>
          <w:color w:val="FF0000"/>
          <w:szCs w:val="24"/>
          <w:lang w:eastAsia="fr-FR"/>
        </w:rPr>
        <w:t xml:space="preserve">Lorsque le malade, en état d'exprimer sa volonté, refuse les investigations ou le traitement proposés, le médecin doit respecter ce refus après avoir informé le malade de ses conséquences. </w:t>
      </w:r>
    </w:p>
    <w:p w:rsidR="008F404B" w:rsidRPr="00A52B05" w:rsidRDefault="008F404B" w:rsidP="008F404B">
      <w:pPr>
        <w:pStyle w:val="Paragraphedeliste"/>
        <w:spacing w:before="100" w:beforeAutospacing="1" w:after="100" w:afterAutospacing="1"/>
        <w:ind w:left="888" w:hanging="284"/>
        <w:jc w:val="both"/>
        <w:rPr>
          <w:rFonts w:cstheme="minorHAnsi"/>
          <w:szCs w:val="24"/>
          <w:lang w:eastAsia="fr-FR"/>
        </w:rPr>
      </w:pPr>
    </w:p>
    <w:p w:rsidR="008F404B" w:rsidRPr="00A52B05" w:rsidRDefault="008F404B" w:rsidP="008F404B">
      <w:pPr>
        <w:pStyle w:val="Paragraphedeliste"/>
        <w:numPr>
          <w:ilvl w:val="0"/>
          <w:numId w:val="16"/>
        </w:numPr>
        <w:spacing w:before="100" w:beforeAutospacing="1" w:after="100" w:afterAutospacing="1"/>
        <w:ind w:left="709"/>
        <w:jc w:val="both"/>
        <w:rPr>
          <w:rFonts w:cstheme="minorHAnsi"/>
          <w:szCs w:val="24"/>
          <w:lang w:eastAsia="fr-FR"/>
        </w:rPr>
      </w:pPr>
      <w:r w:rsidRPr="00A52B05">
        <w:rPr>
          <w:rFonts w:cstheme="minorHAnsi"/>
          <w:szCs w:val="24"/>
          <w:lang w:eastAsia="fr-FR"/>
        </w:rPr>
        <w:lastRenderedPageBreak/>
        <w:t xml:space="preserve">Si le malade est hors d'état d'exprimer sa volonté, le médecin ne peut intervenir sans que la personne de confiance, à défaut, la famille ou un de ses proches ait été prévenu et informé, </w:t>
      </w:r>
      <w:r w:rsidRPr="00A52B05">
        <w:rPr>
          <w:rFonts w:cstheme="minorHAnsi"/>
          <w:color w:val="FF0000"/>
          <w:szCs w:val="24"/>
          <w:lang w:eastAsia="fr-FR"/>
        </w:rPr>
        <w:t>sauf urgence</w:t>
      </w:r>
      <w:r w:rsidRPr="00A52B05">
        <w:rPr>
          <w:rFonts w:cstheme="minorHAnsi"/>
          <w:szCs w:val="24"/>
          <w:lang w:eastAsia="fr-FR"/>
        </w:rPr>
        <w:t xml:space="preserve"> ou impossibilité.</w:t>
      </w:r>
    </w:p>
    <w:p w:rsidR="008F404B" w:rsidRPr="00A52B05" w:rsidRDefault="008F404B" w:rsidP="008F404B">
      <w:pPr>
        <w:pStyle w:val="Paragraphedeliste"/>
        <w:spacing w:before="100" w:beforeAutospacing="1" w:after="100" w:afterAutospacing="1"/>
        <w:ind w:left="709" w:hanging="284"/>
        <w:jc w:val="both"/>
        <w:rPr>
          <w:rFonts w:cstheme="minorHAnsi"/>
          <w:szCs w:val="24"/>
          <w:lang w:eastAsia="fr-FR"/>
        </w:rPr>
      </w:pPr>
    </w:p>
    <w:p w:rsidR="008F404B" w:rsidRPr="00A52B05" w:rsidRDefault="008F404B" w:rsidP="008F404B">
      <w:pPr>
        <w:pStyle w:val="Paragraphedeliste"/>
        <w:numPr>
          <w:ilvl w:val="0"/>
          <w:numId w:val="16"/>
        </w:numPr>
        <w:spacing w:before="100" w:beforeAutospacing="1" w:after="100" w:afterAutospacing="1"/>
        <w:ind w:left="709"/>
        <w:jc w:val="both"/>
        <w:rPr>
          <w:rFonts w:cstheme="minorHAnsi"/>
          <w:b/>
          <w:szCs w:val="24"/>
          <w:lang w:eastAsia="fr-FR"/>
        </w:rPr>
      </w:pPr>
      <w:r w:rsidRPr="00A52B05">
        <w:rPr>
          <w:rFonts w:cstheme="minorHAnsi"/>
          <w:szCs w:val="24"/>
          <w:lang w:eastAsia="fr-FR"/>
        </w:rPr>
        <w:t xml:space="preserve">On retrouve le même type obligation dans le </w:t>
      </w:r>
      <w:r w:rsidRPr="00A52B05">
        <w:rPr>
          <w:rFonts w:cstheme="minorHAnsi"/>
          <w:color w:val="548DD4"/>
          <w:szCs w:val="24"/>
          <w:lang w:eastAsia="fr-FR"/>
        </w:rPr>
        <w:t>Code de déontologie médicale, à l’article 36</w:t>
      </w:r>
      <w:r w:rsidRPr="00A52B05">
        <w:rPr>
          <w:rFonts w:cstheme="minorHAnsi"/>
          <w:color w:val="1F497D"/>
          <w:szCs w:val="24"/>
          <w:lang w:eastAsia="fr-FR"/>
        </w:rPr>
        <w:t>.</w:t>
      </w:r>
      <w:r w:rsidRPr="00A52B05">
        <w:rPr>
          <w:rFonts w:cstheme="minorHAnsi"/>
          <w:color w:val="548DD4"/>
          <w:szCs w:val="24"/>
          <w:lang w:eastAsia="fr-FR"/>
        </w:rPr>
        <w:t xml:space="preserve"> </w:t>
      </w:r>
    </w:p>
    <w:p w:rsidR="008F404B" w:rsidRPr="00EB24A0" w:rsidRDefault="008F404B" w:rsidP="008F404B">
      <w:pPr>
        <w:ind w:left="2127"/>
        <w:rPr>
          <w:rFonts w:ascii="Calibri" w:hAnsi="Calibri"/>
          <w:u w:val="single"/>
        </w:rPr>
      </w:pPr>
    </w:p>
    <w:p w:rsidR="008F404B" w:rsidRPr="008F404B" w:rsidRDefault="008F404B" w:rsidP="008F404B">
      <w:pPr>
        <w:contextualSpacing/>
        <w:rPr>
          <w:rFonts w:ascii="Calibri" w:hAnsi="Calibri"/>
          <w:b/>
          <w:i/>
          <w:sz w:val="24"/>
          <w:u w:val="single"/>
        </w:rPr>
      </w:pPr>
      <w:r w:rsidRPr="008F404B">
        <w:rPr>
          <w:rFonts w:ascii="Calibri" w:hAnsi="Calibri"/>
          <w:b/>
          <w:i/>
          <w:sz w:val="24"/>
          <w:u w:val="single"/>
        </w:rPr>
        <w:t>Au plan juridique (jurisprudence)</w:t>
      </w:r>
    </w:p>
    <w:p w:rsidR="008F404B" w:rsidRDefault="008F404B" w:rsidP="008F404B">
      <w:pPr>
        <w:pStyle w:val="Paragraphedeliste"/>
        <w:jc w:val="both"/>
        <w:rPr>
          <w:rFonts w:cstheme="minorHAnsi"/>
          <w:i/>
          <w:sz w:val="18"/>
          <w:szCs w:val="18"/>
          <w:lang w:eastAsia="fr-FR"/>
        </w:rPr>
      </w:pPr>
      <w:r w:rsidRPr="00A52B05">
        <w:rPr>
          <w:rFonts w:cstheme="minorHAnsi"/>
          <w:i/>
          <w:sz w:val="18"/>
          <w:szCs w:val="18"/>
          <w:lang w:eastAsia="fr-FR"/>
        </w:rPr>
        <w:t>(</w:t>
      </w:r>
      <w:proofErr w:type="spellStart"/>
      <w:r w:rsidRPr="00A52B05">
        <w:rPr>
          <w:rFonts w:cstheme="minorHAnsi"/>
          <w:i/>
          <w:sz w:val="18"/>
          <w:szCs w:val="18"/>
          <w:lang w:eastAsia="fr-FR"/>
        </w:rPr>
        <w:t>source:site</w:t>
      </w:r>
      <w:proofErr w:type="spellEnd"/>
      <w:r w:rsidRPr="00A52B05">
        <w:rPr>
          <w:rFonts w:cstheme="minorHAnsi"/>
          <w:i/>
          <w:sz w:val="18"/>
          <w:szCs w:val="18"/>
          <w:lang w:eastAsia="fr-FR"/>
        </w:rPr>
        <w:t xml:space="preserve"> de la MACSF : </w:t>
      </w:r>
      <w:hyperlink r:id="rId10" w:history="1">
        <w:r w:rsidRPr="00A52B05">
          <w:rPr>
            <w:rStyle w:val="Lienhypertexte"/>
            <w:rFonts w:cstheme="minorHAnsi"/>
            <w:i/>
            <w:sz w:val="18"/>
            <w:szCs w:val="18"/>
            <w:lang w:eastAsia="fr-FR"/>
          </w:rPr>
          <w:t>https://www.macsf-exerciceprofessionnel.fr/Responsabilite/Humanisme-deontologie/refus-temoin-jehovah-subir-transfusion</w:t>
        </w:r>
      </w:hyperlink>
      <w:r>
        <w:rPr>
          <w:rFonts w:cstheme="minorHAnsi"/>
          <w:i/>
          <w:sz w:val="18"/>
          <w:szCs w:val="18"/>
          <w:lang w:eastAsia="fr-FR"/>
        </w:rPr>
        <w:t xml:space="preserve">  </w:t>
      </w:r>
    </w:p>
    <w:p w:rsidR="008F404B" w:rsidRPr="00A52B05" w:rsidRDefault="008F404B" w:rsidP="008F404B">
      <w:pPr>
        <w:pStyle w:val="Paragraphedeliste"/>
        <w:jc w:val="both"/>
        <w:rPr>
          <w:rFonts w:cstheme="minorHAnsi"/>
          <w:i/>
          <w:sz w:val="18"/>
          <w:szCs w:val="18"/>
          <w:lang w:eastAsia="fr-FR"/>
        </w:rPr>
      </w:pPr>
    </w:p>
    <w:p w:rsidR="008F404B" w:rsidRDefault="008F404B" w:rsidP="008F404B">
      <w:pPr>
        <w:pStyle w:val="Paragraphedeliste"/>
        <w:numPr>
          <w:ilvl w:val="0"/>
          <w:numId w:val="17"/>
        </w:numPr>
        <w:spacing w:before="100" w:beforeAutospacing="1" w:after="100" w:afterAutospacing="1"/>
        <w:ind w:left="709" w:hanging="283"/>
        <w:jc w:val="both"/>
        <w:rPr>
          <w:rFonts w:cstheme="minorHAnsi"/>
          <w:lang w:eastAsia="fr-FR"/>
        </w:rPr>
      </w:pPr>
      <w:r w:rsidRPr="00A52B05">
        <w:rPr>
          <w:rFonts w:cstheme="minorHAnsi"/>
          <w:color w:val="548DD4"/>
          <w:lang w:eastAsia="fr-FR"/>
        </w:rPr>
        <w:t>Le Conseil d’Etat,</w:t>
      </w:r>
      <w:r w:rsidRPr="00A52B05">
        <w:rPr>
          <w:rFonts w:cstheme="minorHAnsi"/>
          <w:lang w:eastAsia="fr-FR"/>
        </w:rPr>
        <w:t xml:space="preserve"> dans un arrêté du 26 octobre 2001, a estimé que le médecin pouvait valablement passer outre le refus du patient d’être transfusé, et de manière plus générale, de recevoir des soins contre sa volonté, si quatre conditions cumulatives étaient remplies. Il faut ainsi que :</w:t>
      </w:r>
    </w:p>
    <w:p w:rsidR="008F404B" w:rsidRDefault="008F404B" w:rsidP="008F404B">
      <w:pPr>
        <w:pStyle w:val="Paragraphedeliste"/>
        <w:spacing w:before="100" w:beforeAutospacing="1" w:after="100" w:afterAutospacing="1"/>
        <w:jc w:val="both"/>
        <w:rPr>
          <w:rFonts w:cstheme="minorHAnsi"/>
          <w:lang w:eastAsia="fr-FR"/>
        </w:rPr>
      </w:pPr>
    </w:p>
    <w:p w:rsidR="008F404B" w:rsidRPr="00A52B05" w:rsidRDefault="008F404B" w:rsidP="008F404B">
      <w:pPr>
        <w:pStyle w:val="Paragraphedeliste"/>
        <w:numPr>
          <w:ilvl w:val="0"/>
          <w:numId w:val="11"/>
        </w:numPr>
        <w:spacing w:before="100" w:beforeAutospacing="1" w:after="100" w:afterAutospacing="1"/>
        <w:ind w:left="1596"/>
        <w:jc w:val="both"/>
        <w:rPr>
          <w:rFonts w:cstheme="minorHAnsi"/>
          <w:b/>
          <w:szCs w:val="24"/>
          <w:lang w:eastAsia="fr-FR"/>
        </w:rPr>
      </w:pPr>
      <w:proofErr w:type="gramStart"/>
      <w:r w:rsidRPr="00A52B05">
        <w:rPr>
          <w:rFonts w:cstheme="minorHAnsi"/>
          <w:szCs w:val="24"/>
          <w:lang w:eastAsia="fr-FR"/>
        </w:rPr>
        <w:t>le</w:t>
      </w:r>
      <w:proofErr w:type="gramEnd"/>
      <w:r w:rsidRPr="00A52B05">
        <w:rPr>
          <w:rFonts w:cstheme="minorHAnsi"/>
          <w:szCs w:val="24"/>
          <w:lang w:eastAsia="fr-FR"/>
        </w:rPr>
        <w:t xml:space="preserve"> pronostic vital du patient soit en jeu ;</w:t>
      </w:r>
    </w:p>
    <w:p w:rsidR="008F404B" w:rsidRPr="00A52B05" w:rsidRDefault="008F404B" w:rsidP="008F404B">
      <w:pPr>
        <w:pStyle w:val="Paragraphedeliste"/>
        <w:numPr>
          <w:ilvl w:val="0"/>
          <w:numId w:val="11"/>
        </w:numPr>
        <w:spacing w:before="100" w:beforeAutospacing="1" w:after="100" w:afterAutospacing="1"/>
        <w:ind w:left="1596"/>
        <w:jc w:val="both"/>
        <w:rPr>
          <w:rFonts w:cstheme="minorHAnsi"/>
          <w:b/>
          <w:szCs w:val="24"/>
          <w:lang w:eastAsia="fr-FR"/>
        </w:rPr>
      </w:pPr>
      <w:proofErr w:type="gramStart"/>
      <w:r w:rsidRPr="00A52B05">
        <w:rPr>
          <w:rFonts w:cstheme="minorHAnsi"/>
          <w:szCs w:val="24"/>
          <w:lang w:eastAsia="fr-FR"/>
        </w:rPr>
        <w:t>aucune</w:t>
      </w:r>
      <w:proofErr w:type="gramEnd"/>
      <w:r w:rsidRPr="00A52B05">
        <w:rPr>
          <w:rFonts w:cstheme="minorHAnsi"/>
          <w:szCs w:val="24"/>
          <w:lang w:eastAsia="fr-FR"/>
        </w:rPr>
        <w:t xml:space="preserve"> autre alternative thérapeutique que celle envisagée n’existe ;</w:t>
      </w:r>
    </w:p>
    <w:p w:rsidR="008F404B" w:rsidRPr="00A52B05" w:rsidRDefault="008F404B" w:rsidP="008F404B">
      <w:pPr>
        <w:pStyle w:val="Paragraphedeliste"/>
        <w:numPr>
          <w:ilvl w:val="0"/>
          <w:numId w:val="11"/>
        </w:numPr>
        <w:spacing w:before="100" w:beforeAutospacing="1" w:after="100" w:afterAutospacing="1"/>
        <w:ind w:left="1596"/>
        <w:jc w:val="both"/>
        <w:rPr>
          <w:rFonts w:cstheme="minorHAnsi"/>
          <w:b/>
          <w:szCs w:val="24"/>
          <w:lang w:eastAsia="fr-FR"/>
        </w:rPr>
      </w:pPr>
      <w:proofErr w:type="gramStart"/>
      <w:r w:rsidRPr="00A52B05">
        <w:rPr>
          <w:rFonts w:cstheme="minorHAnsi"/>
          <w:szCs w:val="24"/>
          <w:lang w:eastAsia="fr-FR"/>
        </w:rPr>
        <w:t>les</w:t>
      </w:r>
      <w:proofErr w:type="gramEnd"/>
      <w:r w:rsidRPr="00A52B05">
        <w:rPr>
          <w:rFonts w:cstheme="minorHAnsi"/>
          <w:szCs w:val="24"/>
          <w:lang w:eastAsia="fr-FR"/>
        </w:rPr>
        <w:t xml:space="preserve"> actes accomplis soient indispensables à sa survie ;</w:t>
      </w:r>
    </w:p>
    <w:p w:rsidR="008F404B" w:rsidRPr="004B2183" w:rsidRDefault="008F404B" w:rsidP="008F404B">
      <w:pPr>
        <w:pStyle w:val="Paragraphedeliste"/>
        <w:numPr>
          <w:ilvl w:val="0"/>
          <w:numId w:val="11"/>
        </w:numPr>
        <w:spacing w:before="100" w:beforeAutospacing="1" w:after="100" w:afterAutospacing="1"/>
        <w:ind w:left="1596"/>
        <w:jc w:val="both"/>
        <w:rPr>
          <w:rFonts w:cstheme="minorHAnsi"/>
          <w:b/>
          <w:szCs w:val="24"/>
          <w:lang w:eastAsia="fr-FR"/>
        </w:rPr>
      </w:pPr>
      <w:proofErr w:type="gramStart"/>
      <w:r w:rsidRPr="00A52B05">
        <w:rPr>
          <w:rFonts w:cstheme="minorHAnsi"/>
          <w:szCs w:val="24"/>
          <w:lang w:eastAsia="fr-FR"/>
        </w:rPr>
        <w:t>les</w:t>
      </w:r>
      <w:proofErr w:type="gramEnd"/>
      <w:r w:rsidRPr="00A52B05">
        <w:rPr>
          <w:rFonts w:cstheme="minorHAnsi"/>
          <w:szCs w:val="24"/>
          <w:lang w:eastAsia="fr-FR"/>
        </w:rPr>
        <w:t xml:space="preserve"> actes soient proportionnés à son état.</w:t>
      </w:r>
    </w:p>
    <w:p w:rsidR="008F404B" w:rsidRDefault="008F404B" w:rsidP="008F404B">
      <w:pPr>
        <w:pStyle w:val="Paragraphedeliste"/>
        <w:spacing w:before="100" w:beforeAutospacing="1" w:after="100" w:afterAutospacing="1"/>
        <w:ind w:left="1596"/>
        <w:jc w:val="both"/>
        <w:rPr>
          <w:rFonts w:cstheme="minorHAnsi"/>
          <w:szCs w:val="24"/>
          <w:lang w:eastAsia="fr-FR"/>
        </w:rPr>
      </w:pPr>
    </w:p>
    <w:p w:rsidR="008F404B" w:rsidRPr="00A52B05" w:rsidRDefault="008F404B" w:rsidP="008F404B">
      <w:pPr>
        <w:pStyle w:val="Paragraphedeliste"/>
        <w:spacing w:before="100" w:beforeAutospacing="1" w:after="100" w:afterAutospacing="1"/>
        <w:ind w:left="1596"/>
        <w:jc w:val="both"/>
        <w:rPr>
          <w:rFonts w:cstheme="minorHAnsi"/>
          <w:b/>
          <w:szCs w:val="24"/>
          <w:lang w:eastAsia="fr-FR"/>
        </w:rPr>
      </w:pPr>
    </w:p>
    <w:p w:rsidR="008F404B" w:rsidRDefault="008F404B" w:rsidP="008F404B">
      <w:pPr>
        <w:pStyle w:val="Paragraphedeliste"/>
        <w:numPr>
          <w:ilvl w:val="0"/>
          <w:numId w:val="17"/>
        </w:numPr>
        <w:spacing w:before="100" w:beforeAutospacing="1" w:after="100" w:afterAutospacing="1"/>
        <w:ind w:left="851" w:hanging="425"/>
        <w:jc w:val="both"/>
        <w:rPr>
          <w:rFonts w:cstheme="minorHAnsi"/>
          <w:lang w:eastAsia="fr-FR"/>
        </w:rPr>
      </w:pPr>
      <w:r w:rsidRPr="004B2183">
        <w:rPr>
          <w:rFonts w:cstheme="minorHAnsi"/>
          <w:lang w:eastAsia="fr-FR"/>
        </w:rPr>
        <w:t xml:space="preserve">Postérieurement à l’entrée en vigueur de la loi du 4 mars 2002, dite loi Kouchner, dans une décision de référé du 16 août 2002, </w:t>
      </w:r>
      <w:r w:rsidRPr="004B2183">
        <w:rPr>
          <w:rFonts w:cstheme="minorHAnsi"/>
          <w:color w:val="548DD4"/>
          <w:lang w:eastAsia="fr-FR"/>
        </w:rPr>
        <w:t>le Conseil d’Etat</w:t>
      </w:r>
      <w:r w:rsidRPr="004B2183">
        <w:rPr>
          <w:rFonts w:cstheme="minorHAnsi"/>
          <w:lang w:eastAsia="fr-FR"/>
        </w:rPr>
        <w:t xml:space="preserve"> a fait injonction à un établissement hospitalier de ne pas procéder à une transfusion sanguine sur une patiente, mais a aussitôt précisé que cette injonction cesserait de s’appliquer si la patiente venait à se trouver dans une situation extrême mettant en jeu le pronostic vital.</w:t>
      </w:r>
    </w:p>
    <w:p w:rsidR="008F404B" w:rsidRDefault="008F404B" w:rsidP="008F404B">
      <w:pPr>
        <w:pStyle w:val="Paragraphedeliste"/>
        <w:spacing w:before="100" w:beforeAutospacing="1" w:after="100" w:afterAutospacing="1"/>
        <w:ind w:left="851"/>
        <w:jc w:val="both"/>
        <w:rPr>
          <w:rFonts w:cstheme="minorHAnsi"/>
          <w:lang w:eastAsia="fr-FR"/>
        </w:rPr>
      </w:pPr>
    </w:p>
    <w:p w:rsidR="008F404B" w:rsidRPr="004B2183" w:rsidRDefault="008F404B" w:rsidP="008F404B">
      <w:pPr>
        <w:pStyle w:val="Paragraphedeliste"/>
        <w:numPr>
          <w:ilvl w:val="0"/>
          <w:numId w:val="17"/>
        </w:numPr>
        <w:spacing w:before="100" w:beforeAutospacing="1" w:after="100" w:afterAutospacing="1"/>
        <w:ind w:left="851"/>
        <w:jc w:val="both"/>
        <w:rPr>
          <w:rFonts w:cstheme="minorHAnsi"/>
          <w:lang w:eastAsia="fr-FR"/>
        </w:rPr>
      </w:pPr>
      <w:r w:rsidRPr="004B2183">
        <w:rPr>
          <w:rFonts w:cstheme="minorHAnsi"/>
          <w:color w:val="548DD4"/>
          <w:lang w:eastAsia="fr-FR"/>
        </w:rPr>
        <w:t>La Cour administrative d’appel de Nantes</w:t>
      </w:r>
      <w:r w:rsidRPr="004B2183">
        <w:rPr>
          <w:rFonts w:cstheme="minorHAnsi"/>
          <w:lang w:eastAsia="fr-FR"/>
        </w:rPr>
        <w:t xml:space="preserve">, dans un arrêt du 20 avril 2006, a refusé d’octroyer un préjudice moral à une patiente, témoin de Jéhovah, qui avait été transfusée malgré son opposition, car il était démontré que les transfusions étaient </w:t>
      </w:r>
      <w:r w:rsidRPr="004B2183">
        <w:rPr>
          <w:rFonts w:cstheme="minorHAnsi"/>
          <w:i/>
          <w:iCs/>
          <w:lang w:eastAsia="fr-FR"/>
        </w:rPr>
        <w:t>« indispensables à sa survie »</w:t>
      </w:r>
      <w:r w:rsidRPr="004B2183">
        <w:rPr>
          <w:rFonts w:cstheme="minorHAnsi"/>
          <w:lang w:eastAsia="fr-FR"/>
        </w:rPr>
        <w:t>.</w:t>
      </w:r>
    </w:p>
    <w:p w:rsidR="008F404B" w:rsidRPr="004B2183" w:rsidRDefault="008F404B" w:rsidP="008F404B">
      <w:pPr>
        <w:pStyle w:val="Paragraphedeliste"/>
        <w:spacing w:before="100" w:beforeAutospacing="1" w:after="100" w:afterAutospacing="1"/>
        <w:ind w:left="851"/>
        <w:jc w:val="both"/>
        <w:rPr>
          <w:rFonts w:cstheme="minorHAnsi"/>
          <w:lang w:eastAsia="fr-FR"/>
        </w:rPr>
      </w:pPr>
    </w:p>
    <w:p w:rsidR="008F404B" w:rsidRPr="004B2183" w:rsidRDefault="008F404B" w:rsidP="008F404B">
      <w:pPr>
        <w:pStyle w:val="Paragraphedeliste"/>
        <w:numPr>
          <w:ilvl w:val="0"/>
          <w:numId w:val="17"/>
        </w:numPr>
        <w:spacing w:before="100" w:beforeAutospacing="1" w:after="100" w:afterAutospacing="1"/>
        <w:ind w:left="851"/>
        <w:jc w:val="both"/>
        <w:rPr>
          <w:rFonts w:cstheme="minorHAnsi"/>
          <w:lang w:eastAsia="fr-FR"/>
        </w:rPr>
      </w:pPr>
      <w:r w:rsidRPr="004B2183">
        <w:rPr>
          <w:rFonts w:cstheme="minorHAnsi"/>
          <w:lang w:eastAsia="fr-FR"/>
        </w:rPr>
        <w:t>Il appartient donc à chaque établissement de santé d’établir une procédure médico-juridique permettant la mise en œuvre de ce cadre légal et réglementaire.</w:t>
      </w:r>
    </w:p>
    <w:p w:rsidR="008F404B" w:rsidRPr="004B2183" w:rsidRDefault="008F404B" w:rsidP="008F404B">
      <w:pPr>
        <w:pStyle w:val="Paragraphedeliste"/>
        <w:spacing w:before="100" w:beforeAutospacing="1" w:after="100" w:afterAutospacing="1"/>
        <w:ind w:left="851"/>
        <w:jc w:val="both"/>
        <w:rPr>
          <w:rFonts w:cstheme="minorHAnsi"/>
          <w:lang w:eastAsia="fr-FR"/>
        </w:rPr>
      </w:pPr>
      <w:r w:rsidRPr="004B2183">
        <w:rPr>
          <w:rFonts w:cstheme="minorHAnsi"/>
          <w:lang w:eastAsia="fr-FR"/>
        </w:rPr>
        <w:t xml:space="preserve"> </w:t>
      </w:r>
    </w:p>
    <w:p w:rsidR="008F404B" w:rsidRPr="004B2183" w:rsidRDefault="008F404B" w:rsidP="008F404B">
      <w:pPr>
        <w:pStyle w:val="Paragraphedeliste"/>
        <w:numPr>
          <w:ilvl w:val="0"/>
          <w:numId w:val="17"/>
        </w:numPr>
        <w:spacing w:before="100" w:beforeAutospacing="1" w:after="100" w:afterAutospacing="1"/>
        <w:ind w:left="851"/>
        <w:jc w:val="both"/>
        <w:rPr>
          <w:rFonts w:cstheme="minorHAnsi"/>
          <w:lang w:eastAsia="fr-FR"/>
        </w:rPr>
      </w:pPr>
      <w:r w:rsidRPr="004B2183">
        <w:rPr>
          <w:rFonts w:cstheme="minorHAnsi"/>
          <w:lang w:eastAsia="fr-FR"/>
        </w:rPr>
        <w:t xml:space="preserve">La loi prévoit que </w:t>
      </w:r>
      <w:r w:rsidRPr="004B2183">
        <w:rPr>
          <w:rFonts w:cstheme="minorHAnsi"/>
          <w:i/>
          <w:u w:val="single"/>
          <w:lang w:eastAsia="fr-FR"/>
        </w:rPr>
        <w:t>« L'ensem</w:t>
      </w:r>
      <w:r>
        <w:rPr>
          <w:rFonts w:cstheme="minorHAnsi"/>
          <w:i/>
          <w:u w:val="single"/>
          <w:lang w:eastAsia="fr-FR"/>
        </w:rPr>
        <w:t>ble de la procédure est inscrit</w:t>
      </w:r>
      <w:r w:rsidRPr="004B2183">
        <w:rPr>
          <w:rFonts w:cstheme="minorHAnsi"/>
          <w:i/>
          <w:u w:val="single"/>
          <w:lang w:eastAsia="fr-FR"/>
        </w:rPr>
        <w:t xml:space="preserve"> dans le dossier médical du patient</w:t>
      </w:r>
      <w:r w:rsidRPr="004B2183">
        <w:rPr>
          <w:rFonts w:cstheme="minorHAnsi"/>
          <w:i/>
          <w:lang w:eastAsia="fr-FR"/>
        </w:rPr>
        <w:t xml:space="preserve">. » </w:t>
      </w:r>
      <w:r w:rsidRPr="004B2183">
        <w:rPr>
          <w:rFonts w:cstheme="minorHAnsi"/>
          <w:lang w:eastAsia="fr-FR"/>
        </w:rPr>
        <w:t xml:space="preserve">mais il n’existe pas de document support « type » national. </w:t>
      </w:r>
    </w:p>
    <w:p w:rsidR="008F404B" w:rsidRPr="00A52B05" w:rsidRDefault="008F404B" w:rsidP="008F404B">
      <w:pPr>
        <w:pStyle w:val="Paragraphedeliste"/>
        <w:spacing w:before="100" w:beforeAutospacing="1" w:after="100" w:afterAutospacing="1"/>
        <w:ind w:left="1029"/>
        <w:jc w:val="both"/>
        <w:rPr>
          <w:rFonts w:cstheme="minorHAnsi"/>
          <w:lang w:eastAsia="fr-FR"/>
        </w:rPr>
      </w:pPr>
    </w:p>
    <w:p w:rsidR="00470594" w:rsidRDefault="00470594"/>
    <w:sectPr w:rsidR="00470594" w:rsidSect="00E01806">
      <w:headerReference w:type="default" r:id="rId11"/>
      <w:footerReference w:type="defaul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56" w:rsidRDefault="00B70D56" w:rsidP="00CE47D1">
      <w:pPr>
        <w:spacing w:after="0" w:line="240" w:lineRule="auto"/>
      </w:pPr>
      <w:r>
        <w:separator/>
      </w:r>
    </w:p>
  </w:endnote>
  <w:endnote w:type="continuationSeparator" w:id="0">
    <w:p w:rsidR="00B70D56" w:rsidRDefault="00B70D56"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w:t>
    </w:r>
    <w:r w:rsidR="008F404B">
      <w:rPr>
        <w:rFonts w:ascii="Arial" w:hAnsi="Arial" w:cs="Arial"/>
        <w:i/>
        <w:color w:val="000080"/>
        <w:sz w:val="12"/>
        <w:szCs w:val="16"/>
      </w:rPr>
      <w:t>ES/TRANSFUSION/SYNTHESE-ACTE-TRANSFUSIONNEL</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56" w:rsidRDefault="00B70D56" w:rsidP="00CE47D1">
      <w:pPr>
        <w:spacing w:after="0" w:line="240" w:lineRule="auto"/>
      </w:pPr>
      <w:r>
        <w:separator/>
      </w:r>
    </w:p>
  </w:footnote>
  <w:footnote w:type="continuationSeparator" w:id="0">
    <w:p w:rsidR="00B70D56" w:rsidRDefault="00B70D56"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B91"/>
    <w:multiLevelType w:val="hybridMultilevel"/>
    <w:tmpl w:val="1842FC24"/>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E1CF6"/>
    <w:multiLevelType w:val="hybridMultilevel"/>
    <w:tmpl w:val="6BB43B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86634EB"/>
    <w:multiLevelType w:val="hybridMultilevel"/>
    <w:tmpl w:val="3D124F22"/>
    <w:lvl w:ilvl="0" w:tplc="ECE81A24">
      <w:start w:val="2"/>
      <w:numFmt w:val="bullet"/>
      <w:lvlText w:val="-"/>
      <w:lvlJc w:val="left"/>
      <w:pPr>
        <w:ind w:left="1080" w:hanging="360"/>
      </w:pPr>
      <w:rPr>
        <w:rFonts w:ascii="Cambria" w:eastAsia="Times New Roman" w:hAnsi="Cambria"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D578C7"/>
    <w:multiLevelType w:val="hybridMultilevel"/>
    <w:tmpl w:val="9BF484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8"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555037"/>
    <w:multiLevelType w:val="hybridMultilevel"/>
    <w:tmpl w:val="0E4E12CE"/>
    <w:lvl w:ilvl="0" w:tplc="040C0001">
      <w:start w:val="1"/>
      <w:numFmt w:val="bullet"/>
      <w:lvlText w:val=""/>
      <w:lvlJc w:val="left"/>
      <w:pPr>
        <w:ind w:left="1608" w:hanging="360"/>
      </w:pPr>
      <w:rPr>
        <w:rFonts w:ascii="Symbol" w:hAnsi="Symbol"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10" w15:restartNumberingAfterBreak="0">
    <w:nsid w:val="418970DD"/>
    <w:multiLevelType w:val="hybridMultilevel"/>
    <w:tmpl w:val="2E606A5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4876135D"/>
    <w:multiLevelType w:val="hybridMultilevel"/>
    <w:tmpl w:val="D1A8D6B8"/>
    <w:lvl w:ilvl="0" w:tplc="666252C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A681867"/>
    <w:multiLevelType w:val="hybridMultilevel"/>
    <w:tmpl w:val="1E2275A0"/>
    <w:lvl w:ilvl="0" w:tplc="040C0001">
      <w:start w:val="1"/>
      <w:numFmt w:val="bullet"/>
      <w:lvlText w:val=""/>
      <w:lvlJc w:val="left"/>
      <w:pPr>
        <w:ind w:left="1608" w:hanging="360"/>
      </w:pPr>
      <w:rPr>
        <w:rFonts w:ascii="Symbol" w:hAnsi="Symbol"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17"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480C1F"/>
    <w:multiLevelType w:val="hybridMultilevel"/>
    <w:tmpl w:val="282C6F78"/>
    <w:lvl w:ilvl="0" w:tplc="040C0001">
      <w:start w:val="1"/>
      <w:numFmt w:val="bullet"/>
      <w:lvlText w:val=""/>
      <w:lvlJc w:val="left"/>
      <w:pPr>
        <w:ind w:left="1608" w:hanging="360"/>
      </w:pPr>
      <w:rPr>
        <w:rFonts w:ascii="Symbol" w:hAnsi="Symbol"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num w:numId="1">
    <w:abstractNumId w:val="1"/>
  </w:num>
  <w:num w:numId="2">
    <w:abstractNumId w:val="12"/>
  </w:num>
  <w:num w:numId="3">
    <w:abstractNumId w:val="17"/>
  </w:num>
  <w:num w:numId="4">
    <w:abstractNumId w:val="13"/>
  </w:num>
  <w:num w:numId="5">
    <w:abstractNumId w:val="15"/>
  </w:num>
  <w:num w:numId="6">
    <w:abstractNumId w:val="3"/>
  </w:num>
  <w:num w:numId="7">
    <w:abstractNumId w:val="8"/>
  </w:num>
  <w:num w:numId="8">
    <w:abstractNumId w:val="6"/>
  </w:num>
  <w:num w:numId="9">
    <w:abstractNumId w:val="14"/>
  </w:num>
  <w:num w:numId="10">
    <w:abstractNumId w:val="5"/>
  </w:num>
  <w:num w:numId="11">
    <w:abstractNumId w:val="4"/>
  </w:num>
  <w:num w:numId="12">
    <w:abstractNumId w:val="11"/>
  </w:num>
  <w:num w:numId="13">
    <w:abstractNumId w:val="0"/>
  </w:num>
  <w:num w:numId="14">
    <w:abstractNumId w:val="10"/>
  </w:num>
  <w:num w:numId="15">
    <w:abstractNumId w:val="9"/>
  </w:num>
  <w:num w:numId="16">
    <w:abstractNumId w:val="18"/>
  </w:num>
  <w:num w:numId="17">
    <w:abstractNumId w:val="16"/>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44637"/>
    <w:rsid w:val="000579B2"/>
    <w:rsid w:val="00072B6C"/>
    <w:rsid w:val="0009770D"/>
    <w:rsid w:val="0014394F"/>
    <w:rsid w:val="00186CD5"/>
    <w:rsid w:val="001F6AB9"/>
    <w:rsid w:val="0025104A"/>
    <w:rsid w:val="00273F0A"/>
    <w:rsid w:val="0029033F"/>
    <w:rsid w:val="002A07E7"/>
    <w:rsid w:val="0033287C"/>
    <w:rsid w:val="0034566B"/>
    <w:rsid w:val="00370909"/>
    <w:rsid w:val="003F109A"/>
    <w:rsid w:val="00470594"/>
    <w:rsid w:val="00526625"/>
    <w:rsid w:val="00554F14"/>
    <w:rsid w:val="005B050B"/>
    <w:rsid w:val="005F1AB1"/>
    <w:rsid w:val="0061450D"/>
    <w:rsid w:val="006754D0"/>
    <w:rsid w:val="00734F1B"/>
    <w:rsid w:val="007C1278"/>
    <w:rsid w:val="008E47F1"/>
    <w:rsid w:val="008F0DC7"/>
    <w:rsid w:val="008F404B"/>
    <w:rsid w:val="00936547"/>
    <w:rsid w:val="0097762A"/>
    <w:rsid w:val="00982855"/>
    <w:rsid w:val="009E7C8D"/>
    <w:rsid w:val="00A80F10"/>
    <w:rsid w:val="00A84185"/>
    <w:rsid w:val="00B432ED"/>
    <w:rsid w:val="00B70D56"/>
    <w:rsid w:val="00B7265B"/>
    <w:rsid w:val="00BC63D7"/>
    <w:rsid w:val="00C331EA"/>
    <w:rsid w:val="00C80EFE"/>
    <w:rsid w:val="00CE2623"/>
    <w:rsid w:val="00CE47D1"/>
    <w:rsid w:val="00D11C8E"/>
    <w:rsid w:val="00D34273"/>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9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685772&amp;dateTexte=&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06072665&amp;idArticle=LEGIARTI000006685753&amp;dateTexte=&amp;categorieLien=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csf-exerciceprofessionnel.fr/Responsabilite/Humanisme-deontologie/refus-temoin-jehovah-subir-transfusion"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31971159&amp;dateTexte=&amp;categorieLien=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30</cp:revision>
  <dcterms:created xsi:type="dcterms:W3CDTF">2020-10-16T12:52:00Z</dcterms:created>
  <dcterms:modified xsi:type="dcterms:W3CDTF">2022-01-17T08:07:00Z</dcterms:modified>
</cp:coreProperties>
</file>