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7C1499" w:rsidP="00E77183">
            <w:r>
              <w:rPr>
                <w:sz w:val="24"/>
              </w:rPr>
              <w:t>HVCVL/ES/</w:t>
            </w:r>
            <w:r w:rsidR="00472014">
              <w:rPr>
                <w:sz w:val="24"/>
              </w:rPr>
              <w:t>TRANSFUSION/</w:t>
            </w:r>
            <w:r>
              <w:rPr>
                <w:sz w:val="24"/>
              </w:rPr>
              <w:t>PSL-NEONATALE</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554F14">
              <w:rPr>
                <w:b w:val="0"/>
                <w:sz w:val="18"/>
              </w:rPr>
              <w:t>07/2017</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9D7AD3">
            <w:pPr>
              <w:rPr>
                <w:sz w:val="18"/>
              </w:rPr>
            </w:pPr>
            <w:r w:rsidRPr="00B432ED">
              <w:rPr>
                <w:sz w:val="18"/>
              </w:rPr>
              <w:t xml:space="preserve">Date de diffusion : </w:t>
            </w:r>
            <w:r w:rsidR="009D7AD3">
              <w:rPr>
                <w:b w:val="0"/>
                <w:sz w:val="18"/>
              </w:rPr>
              <w:t>01/01/2022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281E9B">
            <w:pPr>
              <w:rPr>
                <w:sz w:val="18"/>
              </w:rPr>
            </w:pPr>
            <w:r w:rsidRPr="00B432ED">
              <w:rPr>
                <w:sz w:val="18"/>
              </w:rPr>
              <w:t xml:space="preserve">Version : </w:t>
            </w:r>
            <w:r w:rsidR="00281E9B" w:rsidRPr="009D7AD3">
              <w:rPr>
                <w:b w:val="0"/>
                <w:sz w:val="18"/>
              </w:rPr>
              <w:t>04</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104671</wp:posOffset>
                </wp:positionV>
                <wp:extent cx="5745167" cy="292905"/>
                <wp:effectExtent l="0" t="0" r="27305" b="12065"/>
                <wp:wrapNone/>
                <wp:docPr id="3" name="Rectangle 3"/>
                <wp:cNvGraphicFramePr/>
                <a:graphic xmlns:a="http://schemas.openxmlformats.org/drawingml/2006/main">
                  <a:graphicData uri="http://schemas.microsoft.com/office/word/2010/wordprocessingShape">
                    <wps:wsp>
                      <wps:cNvSpPr/>
                      <wps:spPr>
                        <a:xfrm>
                          <a:off x="0" y="0"/>
                          <a:ext cx="5745167" cy="29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7C1499" w:rsidP="00FC530B">
                            <w:pPr>
                              <w:rPr>
                                <w:b/>
                                <w:sz w:val="28"/>
                              </w:rPr>
                            </w:pPr>
                            <w:r>
                              <w:rPr>
                                <w:b/>
                                <w:sz w:val="28"/>
                              </w:rPr>
                              <w:t>Choix des PSL en période néonatale</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2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h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elsPjk55UySbno+Pc/n&#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" fillcolor="#5b9bd5 [3204]" strokecolor="#1f4d78 [1604]" strokeweight="1pt">
                <v:textbox>
                  <w:txbxContent>
                    <w:p w:rsidR="00FC530B" w:rsidRPr="00FC530B" w:rsidRDefault="007C1499" w:rsidP="00FC530B">
                      <w:pPr>
                        <w:rPr>
                          <w:b/>
                          <w:sz w:val="28"/>
                        </w:rPr>
                      </w:pPr>
                      <w:r>
                        <w:rPr>
                          <w:b/>
                          <w:sz w:val="28"/>
                        </w:rPr>
                        <w:t>Choix des PSL en période néonatale</w:t>
                      </w:r>
                      <w:r w:rsidR="00FC530B" w:rsidRPr="00FC530B">
                        <w:rPr>
                          <w:b/>
                          <w:sz w:val="28"/>
                        </w:rPr>
                        <w:t xml:space="preserve"> </w:t>
                      </w:r>
                    </w:p>
                  </w:txbxContent>
                </v:textbox>
                <w10:wrap anchorx="margin"/>
              </v:rect>
            </w:pict>
          </mc:Fallback>
        </mc:AlternateContent>
      </w:r>
    </w:p>
    <w:p w:rsidR="00470594" w:rsidRDefault="00470594"/>
    <w:p w:rsidR="00470594" w:rsidRDefault="00470594"/>
    <w:p w:rsidR="00E77183" w:rsidRDefault="00E77183"/>
    <w:p w:rsidR="00470594" w:rsidRPr="00E77183" w:rsidRDefault="00E77183">
      <w:pPr>
        <w:rPr>
          <w:b/>
          <w:i/>
        </w:rPr>
      </w:pPr>
      <w:r w:rsidRPr="00E77183">
        <w:rPr>
          <w:b/>
          <w:i/>
          <w:u w:val="single"/>
        </w:rPr>
        <w:t>Objectifs</w:t>
      </w:r>
      <w:r w:rsidRPr="00E77183">
        <w:rPr>
          <w:b/>
          <w:i/>
        </w:rPr>
        <w:t> :</w:t>
      </w:r>
    </w:p>
    <w:p w:rsidR="007C1499" w:rsidRPr="007C1499" w:rsidRDefault="007C1499" w:rsidP="007C1499">
      <w:r w:rsidRPr="007C1499">
        <w:t xml:space="preserve">Modalités de sélection des PSL destiné à un enfant âgé de 0 à 4 mois d’âge civil. Précision des examens </w:t>
      </w:r>
      <w:proofErr w:type="spellStart"/>
      <w:r w:rsidRPr="007C1499">
        <w:t>immuno</w:t>
      </w:r>
      <w:proofErr w:type="spellEnd"/>
      <w:r w:rsidRPr="007C1499">
        <w:t>-hématologiques nécessaires à la transfusion compte tenu des caractéristiques physiologiques de cet âge et des conséquences sur le choix des PSL, leurs qualifications et éventuelles transformations.</w:t>
      </w:r>
    </w:p>
    <w:p w:rsidR="00E77183" w:rsidRDefault="00E77183"/>
    <w:p w:rsidR="0061450D" w:rsidRDefault="0061450D"/>
    <w:p w:rsidR="00E77183" w:rsidRDefault="00E77183">
      <w:r w:rsidRPr="00E77183">
        <w:rPr>
          <w:b/>
          <w:i/>
          <w:u w:val="single"/>
        </w:rPr>
        <w:t>Textes de références</w:t>
      </w:r>
      <w:r>
        <w:t> :</w:t>
      </w:r>
    </w:p>
    <w:p w:rsidR="007C1499" w:rsidRPr="007C1499" w:rsidRDefault="007C1499" w:rsidP="007C1499">
      <w:pPr>
        <w:pStyle w:val="Paragraphedeliste"/>
        <w:numPr>
          <w:ilvl w:val="0"/>
          <w:numId w:val="11"/>
        </w:numPr>
        <w:ind w:left="851"/>
        <w:rPr>
          <w:i/>
          <w:iCs/>
          <w:u w:val="single"/>
        </w:rPr>
      </w:pPr>
      <w:r w:rsidRPr="007C1499">
        <w:t xml:space="preserve">Recommandation HAS /ANSM sur la transfusion des CGR, des plasmas et des concentrés plaquettaires. </w:t>
      </w:r>
      <w:hyperlink r:id="rId7" w:history="1">
        <w:r w:rsidRPr="007C1499">
          <w:rPr>
            <w:rStyle w:val="Lienhypertexte"/>
            <w:i/>
            <w:iCs/>
          </w:rPr>
          <w:t>https://www.has-sante.fr/</w:t>
        </w:r>
      </w:hyperlink>
    </w:p>
    <w:p w:rsidR="009D7AD3" w:rsidRPr="00C379AA" w:rsidRDefault="009D7AD3" w:rsidP="00C379AA">
      <w:pPr>
        <w:pStyle w:val="Paragraphedeliste"/>
        <w:numPr>
          <w:ilvl w:val="0"/>
          <w:numId w:val="15"/>
        </w:numPr>
        <w:spacing w:after="0" w:line="240" w:lineRule="auto"/>
        <w:ind w:left="851"/>
        <w:rPr>
          <w:sz w:val="24"/>
        </w:rPr>
      </w:pPr>
      <w:r w:rsidRPr="00C379AA">
        <w:rPr>
          <w:rFonts w:eastAsia="Times New Roman" w:cs="Arial"/>
          <w:szCs w:val="24"/>
          <w:lang w:eastAsia="fr-FR"/>
        </w:rPr>
        <w:t>Instruction N° DGS/PP4/DGOS/PF2/2021/230 du 16 novembre 2021 concernant la réalisation de l’acte transfusionnel</w:t>
      </w:r>
    </w:p>
    <w:p w:rsidR="007C1499" w:rsidRPr="007C1499" w:rsidRDefault="007C1499" w:rsidP="007C1499">
      <w:pPr>
        <w:pStyle w:val="Paragraphedeliste"/>
        <w:numPr>
          <w:ilvl w:val="0"/>
          <w:numId w:val="11"/>
        </w:numPr>
        <w:ind w:left="851"/>
      </w:pPr>
      <w:r w:rsidRPr="007C1499">
        <w:t>La décision du 10 mars 2020 définissant les principes de bonnes pratiques prévues à l’article L.1222-12 du CSP </w:t>
      </w:r>
    </w:p>
    <w:p w:rsidR="00470594" w:rsidRDefault="007C1499" w:rsidP="007C1499">
      <w:pPr>
        <w:pStyle w:val="Paragraphedeliste"/>
        <w:numPr>
          <w:ilvl w:val="0"/>
          <w:numId w:val="11"/>
        </w:numPr>
        <w:ind w:left="851"/>
      </w:pPr>
      <w:r w:rsidRPr="007C1499">
        <w:t>Arrêté du 15 mai 2018 fixant les conditions de réalisation des examens de biologie médicale d’</w:t>
      </w:r>
      <w:proofErr w:type="spellStart"/>
      <w:r w:rsidRPr="007C1499">
        <w:t>immuno-hématologie</w:t>
      </w:r>
      <w:proofErr w:type="spellEnd"/>
      <w:r w:rsidRPr="007C1499">
        <w:t xml:space="preserve"> érythrocytaire</w:t>
      </w:r>
    </w:p>
    <w:p w:rsidR="00470594" w:rsidRDefault="00470594"/>
    <w:p w:rsidR="00470594" w:rsidRDefault="00470594"/>
    <w:p w:rsidR="00470594" w:rsidRDefault="00470594"/>
    <w:p w:rsidR="004501D1" w:rsidRDefault="004501D1"/>
    <w:p w:rsidR="00470594" w:rsidRDefault="00470594"/>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554F14" w:rsidP="00554F14">
            <w:pPr>
              <w:rPr>
                <w:b w:val="0"/>
                <w:sz w:val="18"/>
              </w:rPr>
            </w:pPr>
            <w:proofErr w:type="spellStart"/>
            <w:proofErr w:type="gramStart"/>
            <w:r w:rsidRPr="00F72E1E">
              <w:rPr>
                <w:sz w:val="18"/>
              </w:rPr>
              <w:t>Dr.SAPEY</w:t>
            </w:r>
            <w:proofErr w:type="spellEnd"/>
            <w:proofErr w:type="gramEnd"/>
          </w:p>
          <w:p w:rsidR="00554F14" w:rsidRPr="00554F14" w:rsidRDefault="00554F14" w:rsidP="00554F14">
            <w:pPr>
              <w:rPr>
                <w:b w:val="0"/>
                <w:sz w:val="16"/>
              </w:rPr>
            </w:pPr>
            <w:r w:rsidRPr="00554F14">
              <w:rPr>
                <w:b w:val="0"/>
                <w:sz w:val="16"/>
              </w:rPr>
              <w:t>Coordonnateur Régional d’Hémovigilance et de Sécurité Transfusionnelle</w:t>
            </w:r>
          </w:p>
          <w:p w:rsidR="00E2356D" w:rsidRPr="00E77183" w:rsidRDefault="00E2356D" w:rsidP="00043281">
            <w:pPr>
              <w:rPr>
                <w:b w:val="0"/>
                <w:sz w:val="18"/>
              </w:rPr>
            </w:pP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7C1499" w:rsidRPr="004501D1" w:rsidRDefault="007C1499" w:rsidP="007C1499">
      <w:pPr>
        <w:contextualSpacing/>
        <w:rPr>
          <w:rFonts w:ascii="Calibri" w:hAnsi="Calibri"/>
          <w:b/>
          <w:i/>
          <w:sz w:val="24"/>
          <w:u w:val="single"/>
        </w:rPr>
      </w:pPr>
      <w:bookmarkStart w:id="0" w:name="_GoBack"/>
      <w:bookmarkEnd w:id="0"/>
      <w:r w:rsidRPr="004501D1">
        <w:rPr>
          <w:rFonts w:ascii="Calibri" w:hAnsi="Calibri"/>
          <w:b/>
          <w:i/>
          <w:sz w:val="24"/>
          <w:u w:val="single"/>
        </w:rPr>
        <w:lastRenderedPageBreak/>
        <w:t>Introduction</w:t>
      </w:r>
    </w:p>
    <w:p w:rsidR="007C1499" w:rsidRPr="005F0221" w:rsidRDefault="007C1499" w:rsidP="007C1499">
      <w:pPr>
        <w:jc w:val="both"/>
        <w:rPr>
          <w:rFonts w:ascii="Calibri" w:hAnsi="Calibri"/>
        </w:rPr>
      </w:pPr>
      <w:r>
        <w:rPr>
          <w:rFonts w:ascii="Calibri" w:hAnsi="Calibri"/>
        </w:rPr>
        <w:t xml:space="preserve">                               </w:t>
      </w:r>
    </w:p>
    <w:p w:rsidR="007C1499" w:rsidRDefault="007C1499" w:rsidP="007C1499">
      <w:pPr>
        <w:spacing w:line="276" w:lineRule="auto"/>
        <w:ind w:left="284" w:right="288"/>
        <w:rPr>
          <w:rFonts w:asciiTheme="majorHAnsi" w:eastAsia="Calibri" w:hAnsiTheme="majorHAnsi" w:cs="Arial"/>
          <w:szCs w:val="20"/>
        </w:rPr>
      </w:pPr>
      <w:r w:rsidRPr="005F0221">
        <w:rPr>
          <w:rFonts w:asciiTheme="majorHAnsi" w:eastAsia="Calibri" w:hAnsiTheme="majorHAnsi" w:cs="Arial"/>
          <w:szCs w:val="20"/>
        </w:rPr>
        <w:t xml:space="preserve">Il est nécessaire de tenir compte des particularités physiologiques liées au fœtus et au nouveau-né. Que ce soit le risque de transmission passive d’anticorps maternels nécessitant d’assurer la compatibilité des unités transfusés en tenant compte du groupe de la mère et de l’enfant, l’immaturité immunologique plus ou moins profonde, la grande prématurité qui engendre des besoins transfusionnels surtout chez le prématuré &lt;1500 g plus à risque que l’enfant à terme. </w:t>
      </w:r>
    </w:p>
    <w:p w:rsidR="007C1499" w:rsidRPr="005F0221" w:rsidRDefault="007C1499" w:rsidP="007C1499">
      <w:pPr>
        <w:spacing w:line="276" w:lineRule="auto"/>
        <w:ind w:left="284" w:right="288"/>
        <w:rPr>
          <w:rFonts w:asciiTheme="majorHAnsi" w:eastAsia="Calibri" w:hAnsiTheme="majorHAnsi" w:cs="Arial"/>
          <w:szCs w:val="20"/>
        </w:rPr>
      </w:pPr>
      <w:r w:rsidRPr="005F0221">
        <w:rPr>
          <w:rFonts w:asciiTheme="majorHAnsi" w:eastAsia="Calibri" w:hAnsiTheme="majorHAnsi" w:cs="Arial"/>
          <w:szCs w:val="20"/>
        </w:rPr>
        <w:t>Il faut aussi tenir compte du risque lié aux solutions de conservation et à l’anticoagulant.</w:t>
      </w:r>
    </w:p>
    <w:p w:rsidR="007C1499" w:rsidRPr="005F0221" w:rsidRDefault="007C1499" w:rsidP="007C1499">
      <w:pPr>
        <w:spacing w:line="276" w:lineRule="auto"/>
        <w:ind w:left="284" w:right="288"/>
        <w:rPr>
          <w:rFonts w:eastAsia="Calibri" w:cs="Arial"/>
          <w:szCs w:val="20"/>
        </w:rPr>
      </w:pPr>
      <w:r w:rsidRPr="005F0221">
        <w:rPr>
          <w:rFonts w:eastAsia="Calibri" w:cs="Arial"/>
          <w:szCs w:val="20"/>
        </w:rPr>
        <w:t xml:space="preserve">Risque lié au petit volume sanguin exposant à une hypothermie en cas de transfusion rapide, une surcharge </w:t>
      </w:r>
      <w:proofErr w:type="spellStart"/>
      <w:r w:rsidRPr="005F0221">
        <w:rPr>
          <w:rFonts w:eastAsia="Calibri" w:cs="Arial"/>
          <w:szCs w:val="20"/>
        </w:rPr>
        <w:t>volémique</w:t>
      </w:r>
      <w:proofErr w:type="spellEnd"/>
      <w:r w:rsidRPr="005F0221">
        <w:rPr>
          <w:rFonts w:eastAsia="Calibri" w:cs="Arial"/>
          <w:szCs w:val="20"/>
        </w:rPr>
        <w:t>.</w:t>
      </w:r>
    </w:p>
    <w:p w:rsidR="007C1499" w:rsidRPr="005F0221" w:rsidRDefault="007C1499" w:rsidP="007C1499">
      <w:pPr>
        <w:spacing w:after="200" w:line="276" w:lineRule="auto"/>
        <w:ind w:left="284" w:right="288"/>
        <w:rPr>
          <w:rFonts w:eastAsia="Calibri" w:cs="Arial"/>
          <w:szCs w:val="20"/>
        </w:rPr>
      </w:pPr>
      <w:r w:rsidRPr="005F0221">
        <w:rPr>
          <w:rFonts w:eastAsia="Calibri" w:cs="Arial"/>
          <w:szCs w:val="20"/>
        </w:rPr>
        <w:t>Nécessaire de limiter les prélèvements sources de spoliation sanguine importante.</w:t>
      </w:r>
    </w:p>
    <w:p w:rsidR="007C1499" w:rsidRDefault="007C1499" w:rsidP="007C1499">
      <w:pPr>
        <w:ind w:left="2127"/>
        <w:rPr>
          <w:rFonts w:ascii="Calibri" w:hAnsi="Calibri"/>
        </w:rPr>
      </w:pPr>
    </w:p>
    <w:p w:rsidR="007C1499" w:rsidRPr="008C44E8" w:rsidRDefault="007C1499" w:rsidP="007C1499">
      <w:pPr>
        <w:pStyle w:val="Paragraphedeliste"/>
        <w:numPr>
          <w:ilvl w:val="0"/>
          <w:numId w:val="13"/>
        </w:numPr>
        <w:rPr>
          <w:rFonts w:ascii="Calibri" w:hAnsi="Calibri"/>
          <w:color w:val="2E74B5" w:themeColor="accent1" w:themeShade="BF"/>
          <w:sz w:val="28"/>
          <w:u w:val="single"/>
        </w:rPr>
      </w:pPr>
      <w:r w:rsidRPr="008C44E8">
        <w:rPr>
          <w:rFonts w:ascii="Calibri" w:hAnsi="Calibri"/>
          <w:color w:val="2E74B5" w:themeColor="accent1" w:themeShade="BF"/>
          <w:sz w:val="28"/>
          <w:u w:val="single"/>
        </w:rPr>
        <w:t>Les analyses pré-transfusionnelles (en dehors des UVI) :</w:t>
      </w:r>
    </w:p>
    <w:p w:rsidR="007C1499" w:rsidRDefault="007C1499" w:rsidP="007C1499">
      <w:pPr>
        <w:pStyle w:val="Paragraphedeliste"/>
        <w:tabs>
          <w:tab w:val="left" w:pos="3510"/>
          <w:tab w:val="left" w:leader="dot" w:pos="5400"/>
        </w:tabs>
        <w:ind w:left="574" w:right="288" w:firstLine="284"/>
        <w:jc w:val="both"/>
        <w:rPr>
          <w:rFonts w:cs="Arial"/>
          <w:szCs w:val="24"/>
        </w:rPr>
      </w:pPr>
      <w:r w:rsidRPr="00326A55">
        <w:rPr>
          <w:rFonts w:cs="Arial"/>
          <w:szCs w:val="24"/>
        </w:rPr>
        <w:t xml:space="preserve">Pour le nouveau-né, les examens tiennent compte des données </w:t>
      </w:r>
      <w:proofErr w:type="spellStart"/>
      <w:r w:rsidRPr="00326A55">
        <w:rPr>
          <w:rFonts w:cs="Arial"/>
          <w:szCs w:val="24"/>
        </w:rPr>
        <w:t>immuno</w:t>
      </w:r>
      <w:proofErr w:type="spellEnd"/>
      <w:r w:rsidRPr="00326A55">
        <w:rPr>
          <w:rFonts w:cs="Arial"/>
          <w:szCs w:val="24"/>
        </w:rPr>
        <w:t>-hématologiques de l’enfant et de la mère.</w:t>
      </w:r>
    </w:p>
    <w:p w:rsidR="007C1499" w:rsidRDefault="007C1499" w:rsidP="007C1499">
      <w:pPr>
        <w:pStyle w:val="Paragraphedeliste"/>
        <w:tabs>
          <w:tab w:val="left" w:pos="3510"/>
          <w:tab w:val="left" w:leader="dot" w:pos="5400"/>
        </w:tabs>
        <w:ind w:left="574" w:right="288" w:firstLine="284"/>
        <w:jc w:val="both"/>
        <w:rPr>
          <w:rFonts w:cs="Arial"/>
          <w:szCs w:val="24"/>
        </w:rPr>
      </w:pPr>
    </w:p>
    <w:p w:rsidR="007C1499" w:rsidRPr="007C1499" w:rsidRDefault="007C1499" w:rsidP="007C1499">
      <w:pPr>
        <w:pStyle w:val="Paragraphedeliste"/>
        <w:numPr>
          <w:ilvl w:val="0"/>
          <w:numId w:val="14"/>
        </w:numPr>
        <w:tabs>
          <w:tab w:val="left" w:pos="3510"/>
          <w:tab w:val="left" w:leader="dot" w:pos="5400"/>
        </w:tabs>
        <w:ind w:right="288"/>
        <w:jc w:val="both"/>
        <w:rPr>
          <w:rFonts w:cs="Arial"/>
          <w:b/>
          <w:i/>
          <w:sz w:val="24"/>
          <w:szCs w:val="24"/>
          <w:u w:val="single"/>
        </w:rPr>
      </w:pPr>
      <w:r w:rsidRPr="007C1499">
        <w:rPr>
          <w:rFonts w:cs="Arial"/>
          <w:b/>
          <w:i/>
          <w:sz w:val="24"/>
          <w:szCs w:val="24"/>
          <w:u w:val="single"/>
        </w:rPr>
        <w:t>Chez la mère</w:t>
      </w:r>
      <w:r w:rsidRPr="007C1499">
        <w:rPr>
          <w:rFonts w:cs="Arial"/>
          <w:b/>
          <w:i/>
          <w:sz w:val="24"/>
          <w:szCs w:val="24"/>
        </w:rPr>
        <w:t> :</w:t>
      </w:r>
    </w:p>
    <w:p w:rsidR="007C1499" w:rsidRDefault="007C1499" w:rsidP="007C1499">
      <w:pPr>
        <w:pStyle w:val="Paragraphedeliste"/>
        <w:tabs>
          <w:tab w:val="left" w:pos="3510"/>
          <w:tab w:val="left" w:leader="dot" w:pos="5400"/>
        </w:tabs>
        <w:ind w:right="288"/>
        <w:jc w:val="both"/>
        <w:rPr>
          <w:rFonts w:cs="Arial"/>
          <w:i/>
          <w:sz w:val="24"/>
          <w:szCs w:val="24"/>
          <w:u w:val="single"/>
        </w:rPr>
      </w:pPr>
    </w:p>
    <w:p w:rsidR="007C1499" w:rsidRPr="00326A55" w:rsidRDefault="007C1499" w:rsidP="004501D1">
      <w:pPr>
        <w:pStyle w:val="Paragraphedeliste"/>
        <w:numPr>
          <w:ilvl w:val="0"/>
          <w:numId w:val="10"/>
        </w:numPr>
        <w:ind w:left="1701"/>
        <w:rPr>
          <w:rFonts w:cs="Arial"/>
          <w:szCs w:val="24"/>
        </w:rPr>
      </w:pPr>
      <w:r w:rsidRPr="00326A55">
        <w:rPr>
          <w:rFonts w:cs="Arial"/>
          <w:szCs w:val="24"/>
        </w:rPr>
        <w:t xml:space="preserve">2 déterminations </w:t>
      </w:r>
      <w:proofErr w:type="spellStart"/>
      <w:r w:rsidRPr="00326A55">
        <w:rPr>
          <w:rFonts w:cs="Arial"/>
          <w:szCs w:val="24"/>
        </w:rPr>
        <w:t>phénotypage</w:t>
      </w:r>
      <w:proofErr w:type="spellEnd"/>
      <w:r w:rsidRPr="00326A55">
        <w:rPr>
          <w:rFonts w:cs="Arial"/>
          <w:szCs w:val="24"/>
        </w:rPr>
        <w:t xml:space="preserve"> érythrocytaire de groupe ABO RHKEL1 </w:t>
      </w:r>
    </w:p>
    <w:p w:rsidR="007C1499" w:rsidRDefault="007C1499" w:rsidP="004501D1">
      <w:pPr>
        <w:pStyle w:val="Paragraphedeliste"/>
        <w:numPr>
          <w:ilvl w:val="0"/>
          <w:numId w:val="10"/>
        </w:numPr>
        <w:ind w:left="1701"/>
        <w:rPr>
          <w:rFonts w:cs="Arial"/>
          <w:szCs w:val="24"/>
        </w:rPr>
      </w:pPr>
      <w:r w:rsidRPr="00326A55">
        <w:rPr>
          <w:rFonts w:cs="Arial"/>
          <w:szCs w:val="24"/>
        </w:rPr>
        <w:t>Une RAI initiale réalisée entre 72 heures avant l’accouchement et les 4 mois post-partum.</w:t>
      </w:r>
    </w:p>
    <w:p w:rsidR="007C1499" w:rsidRDefault="007C1499" w:rsidP="007C1499">
      <w:pPr>
        <w:pStyle w:val="Paragraphedeliste"/>
        <w:rPr>
          <w:rFonts w:cs="Arial"/>
          <w:szCs w:val="24"/>
        </w:rPr>
      </w:pPr>
    </w:p>
    <w:p w:rsidR="007C1499" w:rsidRPr="007C1499" w:rsidRDefault="007C1499" w:rsidP="007C1499">
      <w:pPr>
        <w:pStyle w:val="Paragraphedeliste"/>
        <w:numPr>
          <w:ilvl w:val="0"/>
          <w:numId w:val="14"/>
        </w:numPr>
        <w:rPr>
          <w:rFonts w:cs="Arial"/>
          <w:b/>
          <w:i/>
          <w:sz w:val="24"/>
          <w:szCs w:val="24"/>
          <w:u w:val="single"/>
        </w:rPr>
      </w:pPr>
      <w:r w:rsidRPr="007C1499">
        <w:rPr>
          <w:rFonts w:cs="Arial"/>
          <w:b/>
          <w:i/>
          <w:sz w:val="24"/>
          <w:szCs w:val="24"/>
          <w:u w:val="single"/>
        </w:rPr>
        <w:t>Chez l’enfant jusqu’à 4 mois révolus</w:t>
      </w:r>
      <w:r w:rsidRPr="007C1499">
        <w:rPr>
          <w:rFonts w:cs="Arial"/>
          <w:b/>
          <w:i/>
          <w:sz w:val="24"/>
          <w:szCs w:val="24"/>
        </w:rPr>
        <w:t> :</w:t>
      </w:r>
    </w:p>
    <w:p w:rsidR="007C1499" w:rsidRDefault="007C1499" w:rsidP="007C1499">
      <w:pPr>
        <w:pStyle w:val="Paragraphedeliste"/>
        <w:ind w:left="1080"/>
        <w:rPr>
          <w:rFonts w:cs="Arial"/>
          <w:i/>
          <w:sz w:val="24"/>
          <w:szCs w:val="24"/>
          <w:u w:val="single"/>
        </w:rPr>
      </w:pPr>
    </w:p>
    <w:p w:rsidR="007C1499" w:rsidRPr="00326A55" w:rsidRDefault="007C1499" w:rsidP="004501D1">
      <w:pPr>
        <w:pStyle w:val="Paragraphedeliste"/>
        <w:numPr>
          <w:ilvl w:val="0"/>
          <w:numId w:val="10"/>
        </w:numPr>
        <w:tabs>
          <w:tab w:val="left" w:pos="3510"/>
          <w:tab w:val="left" w:leader="dot" w:pos="5400"/>
        </w:tabs>
        <w:ind w:left="1701" w:right="288"/>
        <w:jc w:val="both"/>
        <w:rPr>
          <w:rFonts w:cs="Arial"/>
          <w:szCs w:val="20"/>
        </w:rPr>
      </w:pPr>
      <w:r w:rsidRPr="00326A55">
        <w:rPr>
          <w:rFonts w:cs="Arial"/>
          <w:szCs w:val="20"/>
        </w:rPr>
        <w:t xml:space="preserve">2 déterminations </w:t>
      </w:r>
      <w:proofErr w:type="spellStart"/>
      <w:r w:rsidRPr="00326A55">
        <w:rPr>
          <w:rFonts w:cs="Arial"/>
          <w:szCs w:val="20"/>
        </w:rPr>
        <w:t>phénotypage</w:t>
      </w:r>
      <w:proofErr w:type="spellEnd"/>
      <w:r w:rsidRPr="00326A55">
        <w:rPr>
          <w:rFonts w:cs="Arial"/>
          <w:szCs w:val="20"/>
        </w:rPr>
        <w:t xml:space="preserve"> érythrocytaire ABO RHKEL1 sur sang veineux périphérique (validité jusqu’à 6 mois après la naissance)</w:t>
      </w:r>
    </w:p>
    <w:p w:rsidR="007C1499" w:rsidRPr="00326A55" w:rsidRDefault="007C1499" w:rsidP="004501D1">
      <w:pPr>
        <w:pStyle w:val="Paragraphedeliste"/>
        <w:numPr>
          <w:ilvl w:val="0"/>
          <w:numId w:val="10"/>
        </w:numPr>
        <w:tabs>
          <w:tab w:val="left" w:pos="3510"/>
          <w:tab w:val="left" w:leader="dot" w:pos="5400"/>
        </w:tabs>
        <w:ind w:left="1701" w:right="288"/>
        <w:jc w:val="both"/>
        <w:rPr>
          <w:rFonts w:cs="Arial"/>
          <w:szCs w:val="20"/>
        </w:rPr>
      </w:pPr>
      <w:r w:rsidRPr="00326A55">
        <w:rPr>
          <w:rFonts w:cs="Arial"/>
          <w:szCs w:val="20"/>
        </w:rPr>
        <w:t>Un TDA (test direct à l’</w:t>
      </w:r>
      <w:proofErr w:type="spellStart"/>
      <w:r w:rsidRPr="00326A55">
        <w:rPr>
          <w:rFonts w:cs="Arial"/>
          <w:szCs w:val="20"/>
        </w:rPr>
        <w:t>antiglobuline</w:t>
      </w:r>
      <w:proofErr w:type="spellEnd"/>
      <w:r w:rsidRPr="00326A55">
        <w:rPr>
          <w:rFonts w:cs="Arial"/>
          <w:szCs w:val="20"/>
        </w:rPr>
        <w:t>)</w:t>
      </w:r>
    </w:p>
    <w:p w:rsidR="007C1499" w:rsidRPr="00326A55" w:rsidRDefault="007C1499" w:rsidP="004501D1">
      <w:pPr>
        <w:pStyle w:val="Paragraphedeliste"/>
        <w:numPr>
          <w:ilvl w:val="0"/>
          <w:numId w:val="10"/>
        </w:numPr>
        <w:tabs>
          <w:tab w:val="left" w:pos="3510"/>
          <w:tab w:val="left" w:leader="dot" w:pos="5400"/>
        </w:tabs>
        <w:ind w:left="1701" w:right="288"/>
        <w:jc w:val="both"/>
        <w:rPr>
          <w:rFonts w:cs="Arial"/>
          <w:szCs w:val="20"/>
        </w:rPr>
      </w:pPr>
      <w:r w:rsidRPr="00326A55">
        <w:rPr>
          <w:rFonts w:cs="Arial"/>
          <w:szCs w:val="20"/>
        </w:rPr>
        <w:t>Une élution en cas de TDA positif</w:t>
      </w:r>
    </w:p>
    <w:p w:rsidR="007C1499" w:rsidRPr="00326A55" w:rsidRDefault="007C1499" w:rsidP="004501D1">
      <w:pPr>
        <w:pStyle w:val="Paragraphedeliste"/>
        <w:numPr>
          <w:ilvl w:val="0"/>
          <w:numId w:val="10"/>
        </w:numPr>
        <w:tabs>
          <w:tab w:val="left" w:pos="3510"/>
          <w:tab w:val="left" w:leader="dot" w:pos="5400"/>
        </w:tabs>
        <w:ind w:left="1701" w:right="288"/>
        <w:jc w:val="both"/>
        <w:rPr>
          <w:rFonts w:cs="Arial"/>
          <w:color w:val="00B050"/>
          <w:szCs w:val="20"/>
        </w:rPr>
      </w:pPr>
      <w:r w:rsidRPr="00326A55">
        <w:rPr>
          <w:rFonts w:cs="Arial"/>
          <w:szCs w:val="20"/>
        </w:rPr>
        <w:t xml:space="preserve">Une RAI en absence de RAI de la mère. Elle sera valable jusqu’à 4 mois d’âge civil de l’enfant </w:t>
      </w:r>
      <w:r w:rsidRPr="008C44E8">
        <w:rPr>
          <w:rFonts w:cs="Arial"/>
          <w:color w:val="FF0000"/>
          <w:szCs w:val="20"/>
          <w:u w:val="single"/>
        </w:rPr>
        <w:t>quel que soit le nombre de transfusions</w:t>
      </w:r>
      <w:r w:rsidRPr="008C44E8">
        <w:rPr>
          <w:rFonts w:cs="Arial"/>
          <w:color w:val="FF0000"/>
          <w:szCs w:val="20"/>
        </w:rPr>
        <w:t>.</w:t>
      </w:r>
    </w:p>
    <w:p w:rsidR="007C1499" w:rsidRDefault="007C1499" w:rsidP="007C1499">
      <w:pPr>
        <w:rPr>
          <w:rFonts w:cs="Arial"/>
          <w:i/>
          <w:sz w:val="24"/>
          <w:szCs w:val="24"/>
          <w:u w:val="single"/>
        </w:rPr>
      </w:pPr>
    </w:p>
    <w:p w:rsidR="007C1499" w:rsidRDefault="007C1499" w:rsidP="007C1499">
      <w:pPr>
        <w:tabs>
          <w:tab w:val="left" w:pos="3510"/>
          <w:tab w:val="left" w:leader="dot" w:pos="5400"/>
        </w:tabs>
        <w:ind w:right="288" w:firstLine="567"/>
        <w:jc w:val="both"/>
        <w:rPr>
          <w:rFonts w:cs="Arial"/>
          <w:szCs w:val="20"/>
        </w:rPr>
      </w:pPr>
      <w:r w:rsidRPr="004501D1">
        <w:rPr>
          <w:rFonts w:cs="Arial"/>
          <w:i/>
          <w:color w:val="FF0000"/>
          <w:szCs w:val="20"/>
        </w:rPr>
        <w:t>NB :</w:t>
      </w:r>
      <w:r w:rsidRPr="00326A55">
        <w:rPr>
          <w:rFonts w:cs="Arial"/>
          <w:color w:val="FF0000"/>
          <w:szCs w:val="20"/>
        </w:rPr>
        <w:t xml:space="preserve"> </w:t>
      </w:r>
      <w:r w:rsidRPr="00326A55">
        <w:rPr>
          <w:rFonts w:cs="Arial"/>
          <w:szCs w:val="20"/>
        </w:rPr>
        <w:t xml:space="preserve">Le nouveau-né ne produit pas d’anticorps anti érythrocytaires irréguliers avant 4 mois d’âge civil, les seuls anticorps pouvant être présents chez lui sont d’origine maternelle, par passage </w:t>
      </w:r>
      <w:proofErr w:type="spellStart"/>
      <w:r w:rsidRPr="00326A55">
        <w:rPr>
          <w:rFonts w:cs="Arial"/>
          <w:szCs w:val="20"/>
        </w:rPr>
        <w:t>transplacentaire</w:t>
      </w:r>
      <w:proofErr w:type="spellEnd"/>
      <w:r w:rsidRPr="00326A55">
        <w:rPr>
          <w:rFonts w:cs="Arial"/>
          <w:szCs w:val="20"/>
        </w:rPr>
        <w:t xml:space="preserve"> in utero. Donc préférer une RAI maternelle valable jusqu’à 4 mois d’âge civil de l’enfant quel que soit le nombre de transfusions.</w:t>
      </w:r>
    </w:p>
    <w:p w:rsidR="007C1499" w:rsidRDefault="007C1499" w:rsidP="007C1499">
      <w:pPr>
        <w:tabs>
          <w:tab w:val="left" w:pos="3510"/>
          <w:tab w:val="left" w:leader="dot" w:pos="5400"/>
        </w:tabs>
        <w:ind w:right="288" w:firstLine="567"/>
        <w:jc w:val="both"/>
        <w:rPr>
          <w:rFonts w:cs="Arial"/>
          <w:szCs w:val="20"/>
        </w:rPr>
      </w:pPr>
    </w:p>
    <w:p w:rsidR="004501D1" w:rsidRDefault="004501D1" w:rsidP="007C1499">
      <w:pPr>
        <w:tabs>
          <w:tab w:val="left" w:pos="3510"/>
          <w:tab w:val="left" w:leader="dot" w:pos="5400"/>
        </w:tabs>
        <w:ind w:right="288" w:firstLine="567"/>
        <w:jc w:val="both"/>
        <w:rPr>
          <w:rFonts w:cs="Arial"/>
          <w:szCs w:val="20"/>
        </w:rPr>
      </w:pPr>
    </w:p>
    <w:p w:rsidR="004501D1" w:rsidRDefault="004501D1" w:rsidP="007C1499">
      <w:pPr>
        <w:tabs>
          <w:tab w:val="left" w:pos="3510"/>
          <w:tab w:val="left" w:leader="dot" w:pos="5400"/>
        </w:tabs>
        <w:ind w:right="288" w:firstLine="567"/>
        <w:jc w:val="both"/>
        <w:rPr>
          <w:rFonts w:cs="Arial"/>
          <w:szCs w:val="20"/>
        </w:rPr>
      </w:pPr>
    </w:p>
    <w:p w:rsidR="007C1499" w:rsidRPr="008C44E8" w:rsidRDefault="007C1499" w:rsidP="007C1499">
      <w:pPr>
        <w:pStyle w:val="Paragraphedeliste"/>
        <w:numPr>
          <w:ilvl w:val="0"/>
          <w:numId w:val="13"/>
        </w:numPr>
        <w:tabs>
          <w:tab w:val="left" w:pos="3510"/>
          <w:tab w:val="left" w:leader="dot" w:pos="5400"/>
        </w:tabs>
        <w:ind w:right="288"/>
        <w:jc w:val="both"/>
        <w:rPr>
          <w:rFonts w:cs="Arial"/>
          <w:color w:val="2E74B5" w:themeColor="accent1" w:themeShade="BF"/>
          <w:sz w:val="28"/>
          <w:szCs w:val="20"/>
          <w:u w:val="single"/>
        </w:rPr>
      </w:pPr>
      <w:r w:rsidRPr="008C44E8">
        <w:rPr>
          <w:rFonts w:cs="Arial"/>
          <w:color w:val="2E74B5" w:themeColor="accent1" w:themeShade="BF"/>
          <w:sz w:val="28"/>
          <w:szCs w:val="20"/>
          <w:u w:val="single"/>
        </w:rPr>
        <w:t>Transfusion de CGR :</w:t>
      </w:r>
    </w:p>
    <w:p w:rsidR="007C1499" w:rsidRPr="00326A55" w:rsidRDefault="007C1499" w:rsidP="007C1499">
      <w:pPr>
        <w:pStyle w:val="Paragraphedeliste"/>
        <w:tabs>
          <w:tab w:val="left" w:pos="3510"/>
          <w:tab w:val="left" w:leader="dot" w:pos="5400"/>
        </w:tabs>
        <w:ind w:right="288"/>
        <w:jc w:val="both"/>
        <w:rPr>
          <w:rFonts w:cs="Arial"/>
          <w:szCs w:val="20"/>
        </w:rPr>
      </w:pPr>
    </w:p>
    <w:p w:rsidR="007C1499" w:rsidRPr="00326A55" w:rsidRDefault="007C1499" w:rsidP="004501D1">
      <w:pPr>
        <w:pStyle w:val="Paragraphedeliste"/>
        <w:numPr>
          <w:ilvl w:val="2"/>
          <w:numId w:val="10"/>
        </w:numPr>
        <w:tabs>
          <w:tab w:val="left" w:pos="1141"/>
          <w:tab w:val="left" w:pos="3510"/>
          <w:tab w:val="left" w:leader="dot" w:pos="5400"/>
        </w:tabs>
        <w:ind w:left="1701" w:right="288" w:hanging="425"/>
        <w:jc w:val="both"/>
        <w:rPr>
          <w:rFonts w:cs="Arial"/>
          <w:b/>
          <w:color w:val="FF0000"/>
          <w:szCs w:val="24"/>
        </w:rPr>
      </w:pPr>
      <w:r w:rsidRPr="00326A55">
        <w:rPr>
          <w:rFonts w:cs="Arial"/>
          <w:szCs w:val="24"/>
        </w:rPr>
        <w:t>Age du CGR</w:t>
      </w:r>
      <w:r w:rsidRPr="008C44E8">
        <w:rPr>
          <w:rFonts w:cs="Arial"/>
          <w:szCs w:val="24"/>
        </w:rPr>
        <w:t xml:space="preserve"> : </w:t>
      </w:r>
      <w:r w:rsidRPr="008C44E8">
        <w:rPr>
          <w:rFonts w:cs="Arial"/>
          <w:i/>
          <w:color w:val="FF0000"/>
          <w:szCs w:val="24"/>
        </w:rPr>
        <w:t>voir tableau</w:t>
      </w:r>
    </w:p>
    <w:p w:rsidR="007C1499" w:rsidRPr="00326A55" w:rsidRDefault="007C1499" w:rsidP="004501D1">
      <w:pPr>
        <w:pStyle w:val="Paragraphedeliste"/>
        <w:numPr>
          <w:ilvl w:val="2"/>
          <w:numId w:val="10"/>
        </w:numPr>
        <w:tabs>
          <w:tab w:val="left" w:pos="1141"/>
          <w:tab w:val="left" w:pos="3510"/>
          <w:tab w:val="left" w:leader="dot" w:pos="5400"/>
        </w:tabs>
        <w:ind w:left="1701" w:right="288" w:hanging="425"/>
        <w:jc w:val="both"/>
        <w:rPr>
          <w:rFonts w:cs="Arial"/>
          <w:b/>
          <w:color w:val="FF0000"/>
          <w:szCs w:val="24"/>
        </w:rPr>
      </w:pPr>
      <w:r w:rsidRPr="00326A55">
        <w:rPr>
          <w:rFonts w:cs="Arial"/>
          <w:szCs w:val="24"/>
        </w:rPr>
        <w:t>Groupe</w:t>
      </w:r>
      <w:r w:rsidRPr="00326A55">
        <w:rPr>
          <w:rFonts w:cs="Arial"/>
          <w:color w:val="FF0000"/>
          <w:szCs w:val="24"/>
        </w:rPr>
        <w:t xml:space="preserve"> </w:t>
      </w:r>
      <w:r w:rsidRPr="008C44E8">
        <w:rPr>
          <w:rFonts w:cs="Arial"/>
          <w:i/>
          <w:color w:val="FF0000"/>
          <w:szCs w:val="24"/>
        </w:rPr>
        <w:t>O</w:t>
      </w:r>
    </w:p>
    <w:p w:rsidR="007C1499" w:rsidRPr="008C44E8" w:rsidRDefault="007C1499" w:rsidP="004501D1">
      <w:pPr>
        <w:pStyle w:val="Paragraphedeliste"/>
        <w:numPr>
          <w:ilvl w:val="2"/>
          <w:numId w:val="10"/>
        </w:numPr>
        <w:tabs>
          <w:tab w:val="left" w:pos="1141"/>
          <w:tab w:val="left" w:pos="3510"/>
          <w:tab w:val="left" w:leader="dot" w:pos="5400"/>
        </w:tabs>
        <w:ind w:left="1701" w:right="288" w:hanging="425"/>
        <w:jc w:val="both"/>
        <w:rPr>
          <w:rFonts w:cs="Arial"/>
          <w:i/>
          <w:color w:val="FF0000"/>
          <w:szCs w:val="24"/>
        </w:rPr>
      </w:pPr>
      <w:r w:rsidRPr="00326A55">
        <w:rPr>
          <w:rFonts w:cs="Arial"/>
          <w:szCs w:val="24"/>
        </w:rPr>
        <w:t xml:space="preserve">Phénotype: </w:t>
      </w:r>
      <w:r w:rsidRPr="008C44E8">
        <w:rPr>
          <w:rFonts w:cs="Arial"/>
          <w:i/>
          <w:color w:val="FF0000"/>
          <w:szCs w:val="24"/>
        </w:rPr>
        <w:t>compatible avec celui du nouveau-né et des anticorps de la mère (si présents)</w:t>
      </w:r>
    </w:p>
    <w:p w:rsidR="007C1499" w:rsidRPr="008C44E8" w:rsidRDefault="007C1499" w:rsidP="004501D1">
      <w:pPr>
        <w:pStyle w:val="Paragraphedeliste"/>
        <w:numPr>
          <w:ilvl w:val="2"/>
          <w:numId w:val="10"/>
        </w:numPr>
        <w:tabs>
          <w:tab w:val="left" w:pos="1141"/>
          <w:tab w:val="left" w:pos="3510"/>
          <w:tab w:val="left" w:leader="dot" w:pos="5400"/>
        </w:tabs>
        <w:ind w:left="1701" w:right="288" w:hanging="425"/>
        <w:jc w:val="both"/>
        <w:rPr>
          <w:rFonts w:cs="Arial"/>
          <w:color w:val="FF0000"/>
          <w:szCs w:val="24"/>
        </w:rPr>
      </w:pPr>
      <w:r w:rsidRPr="00326A55">
        <w:rPr>
          <w:rFonts w:cs="Arial"/>
          <w:szCs w:val="24"/>
        </w:rPr>
        <w:t xml:space="preserve">UVI en absence de </w:t>
      </w:r>
      <w:proofErr w:type="spellStart"/>
      <w:r w:rsidRPr="00326A55">
        <w:rPr>
          <w:rFonts w:cs="Arial"/>
          <w:szCs w:val="24"/>
        </w:rPr>
        <w:t>phénotypage</w:t>
      </w:r>
      <w:proofErr w:type="spellEnd"/>
      <w:r w:rsidRPr="00326A55">
        <w:rPr>
          <w:rFonts w:cs="Arial"/>
          <w:szCs w:val="24"/>
        </w:rPr>
        <w:t xml:space="preserve"> érythrocytaire ABO RHKEL1 du nouveau-né et en absence d’immunisation maternelle connue : </w:t>
      </w:r>
    </w:p>
    <w:p w:rsidR="007C1499" w:rsidRPr="00326A55" w:rsidRDefault="007C1499" w:rsidP="004501D1">
      <w:pPr>
        <w:pStyle w:val="Paragraphedeliste"/>
        <w:tabs>
          <w:tab w:val="left" w:pos="1141"/>
          <w:tab w:val="left" w:pos="3510"/>
          <w:tab w:val="left" w:leader="dot" w:pos="5400"/>
        </w:tabs>
        <w:ind w:left="1701" w:right="288" w:hanging="425"/>
        <w:jc w:val="both"/>
        <w:rPr>
          <w:rFonts w:cs="Arial"/>
          <w:color w:val="FF0000"/>
          <w:szCs w:val="24"/>
        </w:rPr>
      </w:pPr>
      <w:r w:rsidRPr="008C44E8">
        <w:rPr>
          <w:rFonts w:cs="Arial"/>
          <w:i/>
          <w:color w:val="FF0000"/>
          <w:szCs w:val="24"/>
        </w:rPr>
        <w:t>O RH</w:t>
      </w:r>
      <w:proofErr w:type="gramStart"/>
      <w:r w:rsidRPr="008C44E8">
        <w:rPr>
          <w:rFonts w:cs="Arial"/>
          <w:i/>
          <w:color w:val="FF0000"/>
          <w:szCs w:val="24"/>
        </w:rPr>
        <w:t> :-</w:t>
      </w:r>
      <w:proofErr w:type="gramEnd"/>
      <w:r w:rsidRPr="008C44E8">
        <w:rPr>
          <w:rFonts w:cs="Arial"/>
          <w:i/>
          <w:color w:val="FF0000"/>
          <w:szCs w:val="24"/>
        </w:rPr>
        <w:t>1,-2,-3 KEL :-1</w:t>
      </w:r>
    </w:p>
    <w:p w:rsidR="007C1499" w:rsidRPr="00326A55" w:rsidRDefault="007C1499" w:rsidP="004501D1">
      <w:pPr>
        <w:pStyle w:val="Paragraphedeliste"/>
        <w:numPr>
          <w:ilvl w:val="2"/>
          <w:numId w:val="10"/>
        </w:numPr>
        <w:tabs>
          <w:tab w:val="left" w:pos="1141"/>
          <w:tab w:val="left" w:pos="3510"/>
          <w:tab w:val="left" w:leader="dot" w:pos="5400"/>
        </w:tabs>
        <w:ind w:left="1701" w:right="288" w:hanging="425"/>
        <w:jc w:val="both"/>
        <w:rPr>
          <w:rFonts w:cs="Arial"/>
          <w:color w:val="FF0000"/>
          <w:szCs w:val="24"/>
        </w:rPr>
      </w:pPr>
      <w:r w:rsidRPr="00326A55">
        <w:rPr>
          <w:rFonts w:cs="Arial"/>
          <w:szCs w:val="24"/>
        </w:rPr>
        <w:t xml:space="preserve">Si présence d’un anti RH 4 connu il faut donner O RH : 1,-3,-4. </w:t>
      </w:r>
      <w:r w:rsidRPr="008C44E8">
        <w:rPr>
          <w:rFonts w:cs="Arial"/>
          <w:i/>
          <w:color w:val="FF0000"/>
          <w:szCs w:val="24"/>
        </w:rPr>
        <w:t>(</w:t>
      </w:r>
      <w:proofErr w:type="gramStart"/>
      <w:r w:rsidRPr="008C44E8">
        <w:rPr>
          <w:rFonts w:cs="Arial"/>
          <w:i/>
          <w:color w:val="FF0000"/>
          <w:szCs w:val="24"/>
        </w:rPr>
        <w:t>après</w:t>
      </w:r>
      <w:proofErr w:type="gramEnd"/>
      <w:r w:rsidRPr="008C44E8">
        <w:rPr>
          <w:rFonts w:cs="Arial"/>
          <w:i/>
          <w:color w:val="FF0000"/>
          <w:szCs w:val="24"/>
        </w:rPr>
        <w:t xml:space="preserve"> avis conseil transfusionnel </w:t>
      </w:r>
      <w:r>
        <w:rPr>
          <w:rFonts w:cs="Arial"/>
          <w:i/>
          <w:color w:val="FF0000"/>
          <w:szCs w:val="24"/>
        </w:rPr>
        <w:t>EFS)</w:t>
      </w:r>
    </w:p>
    <w:p w:rsidR="007C1499" w:rsidRPr="00326A55" w:rsidRDefault="007C1499" w:rsidP="004501D1">
      <w:pPr>
        <w:pStyle w:val="Paragraphedeliste"/>
        <w:numPr>
          <w:ilvl w:val="2"/>
          <w:numId w:val="10"/>
        </w:numPr>
        <w:tabs>
          <w:tab w:val="left" w:pos="1141"/>
          <w:tab w:val="left" w:pos="3510"/>
          <w:tab w:val="left" w:leader="dot" w:pos="5400"/>
        </w:tabs>
        <w:ind w:left="1701" w:right="288" w:hanging="425"/>
        <w:jc w:val="both"/>
        <w:rPr>
          <w:rFonts w:cs="Arial"/>
          <w:color w:val="FF0000"/>
          <w:szCs w:val="24"/>
        </w:rPr>
      </w:pPr>
      <w:r w:rsidRPr="00326A55">
        <w:rPr>
          <w:rFonts w:cs="Arial"/>
          <w:szCs w:val="24"/>
        </w:rPr>
        <w:t xml:space="preserve">Comptabilisé (avec sérum maternel sinon celui de l’enfant) : </w:t>
      </w:r>
      <w:r w:rsidRPr="008C44E8">
        <w:rPr>
          <w:rFonts w:cs="Arial"/>
          <w:i/>
          <w:color w:val="FF0000"/>
          <w:szCs w:val="24"/>
        </w:rPr>
        <w:t xml:space="preserve">Si RAI positive et/ou Test direct </w:t>
      </w:r>
      <w:proofErr w:type="spellStart"/>
      <w:r w:rsidRPr="008C44E8">
        <w:rPr>
          <w:rFonts w:cs="Arial"/>
          <w:i/>
          <w:color w:val="FF0000"/>
          <w:szCs w:val="24"/>
        </w:rPr>
        <w:t>antiglobuline</w:t>
      </w:r>
      <w:proofErr w:type="spellEnd"/>
      <w:r w:rsidRPr="008C44E8">
        <w:rPr>
          <w:rFonts w:cs="Arial"/>
          <w:i/>
          <w:color w:val="FF0000"/>
          <w:szCs w:val="24"/>
        </w:rPr>
        <w:t xml:space="preserve"> (TDA) positif</w:t>
      </w:r>
    </w:p>
    <w:p w:rsidR="007C1499" w:rsidRPr="00326A55" w:rsidRDefault="007C1499" w:rsidP="004501D1">
      <w:pPr>
        <w:pStyle w:val="Paragraphedeliste"/>
        <w:tabs>
          <w:tab w:val="left" w:pos="1141"/>
          <w:tab w:val="left" w:pos="3510"/>
          <w:tab w:val="left" w:leader="dot" w:pos="5400"/>
        </w:tabs>
        <w:ind w:left="1701" w:right="288" w:hanging="425"/>
        <w:jc w:val="both"/>
        <w:rPr>
          <w:rFonts w:cs="Arial"/>
          <w:color w:val="FF0000"/>
          <w:szCs w:val="24"/>
        </w:rPr>
      </w:pPr>
      <w:r w:rsidRPr="00326A55">
        <w:rPr>
          <w:rFonts w:cs="Arial"/>
          <w:color w:val="FF0000"/>
          <w:szCs w:val="24"/>
        </w:rPr>
        <w:t>Comptabilisation obligatoire pour les drépanocytaires et thalassémiques quel que soit le résultat de la RAI et du TDA.</w:t>
      </w:r>
    </w:p>
    <w:p w:rsidR="007C1499" w:rsidRPr="00326A55" w:rsidRDefault="007C1499" w:rsidP="004501D1">
      <w:pPr>
        <w:pStyle w:val="Paragraphedeliste"/>
        <w:numPr>
          <w:ilvl w:val="2"/>
          <w:numId w:val="10"/>
        </w:numPr>
        <w:tabs>
          <w:tab w:val="left" w:pos="1141"/>
          <w:tab w:val="left" w:pos="3510"/>
          <w:tab w:val="left" w:leader="dot" w:pos="5400"/>
        </w:tabs>
        <w:ind w:left="1701" w:hanging="425"/>
        <w:jc w:val="both"/>
        <w:rPr>
          <w:rFonts w:cs="Arial"/>
          <w:b/>
          <w:szCs w:val="24"/>
        </w:rPr>
      </w:pPr>
      <w:r w:rsidRPr="00326A55">
        <w:rPr>
          <w:rFonts w:cs="Arial"/>
          <w:szCs w:val="24"/>
        </w:rPr>
        <w:t xml:space="preserve">Irradié : </w:t>
      </w:r>
    </w:p>
    <w:p w:rsidR="007C1499" w:rsidRPr="00326A55" w:rsidRDefault="007C1499" w:rsidP="007C1499">
      <w:pPr>
        <w:pStyle w:val="Paragraphedeliste"/>
        <w:numPr>
          <w:ilvl w:val="0"/>
          <w:numId w:val="10"/>
        </w:numPr>
        <w:tabs>
          <w:tab w:val="left" w:pos="2559"/>
          <w:tab w:val="left" w:leader="dot" w:pos="5400"/>
        </w:tabs>
        <w:ind w:left="2268" w:hanging="283"/>
        <w:rPr>
          <w:rFonts w:cs="Arial"/>
          <w:b/>
          <w:szCs w:val="24"/>
        </w:rPr>
      </w:pPr>
      <w:r w:rsidRPr="00326A55">
        <w:rPr>
          <w:rFonts w:cs="Arial"/>
          <w:szCs w:val="24"/>
        </w:rPr>
        <w:t xml:space="preserve">Prématuré </w:t>
      </w:r>
      <w:r w:rsidRPr="00326A55">
        <w:rPr>
          <w:rFonts w:cs="Arial"/>
          <w:color w:val="303030"/>
          <w:szCs w:val="24"/>
        </w:rPr>
        <w:t>≤</w:t>
      </w:r>
      <w:r w:rsidRPr="00326A55">
        <w:rPr>
          <w:rFonts w:cs="Arial"/>
          <w:szCs w:val="24"/>
        </w:rPr>
        <w:t>32 SA ou poids de naissance &lt;1500g</w:t>
      </w:r>
    </w:p>
    <w:p w:rsidR="007C1499" w:rsidRPr="00326A55" w:rsidRDefault="007C1499" w:rsidP="007C1499">
      <w:pPr>
        <w:pStyle w:val="Paragraphedeliste"/>
        <w:numPr>
          <w:ilvl w:val="0"/>
          <w:numId w:val="10"/>
        </w:numPr>
        <w:tabs>
          <w:tab w:val="left" w:pos="2559"/>
          <w:tab w:val="left" w:leader="dot" w:pos="5400"/>
        </w:tabs>
        <w:ind w:left="2268" w:hanging="283"/>
        <w:rPr>
          <w:rFonts w:cs="Arial"/>
          <w:b/>
          <w:szCs w:val="24"/>
        </w:rPr>
      </w:pPr>
      <w:r w:rsidRPr="00326A55">
        <w:rPr>
          <w:rFonts w:cs="Arial"/>
          <w:szCs w:val="24"/>
        </w:rPr>
        <w:t>Transfusion massive (&gt;20ml/kg ou &gt;80ml/kg/24h)</w:t>
      </w:r>
    </w:p>
    <w:p w:rsidR="007C1499" w:rsidRPr="00326A55" w:rsidRDefault="007C1499" w:rsidP="007C1499">
      <w:pPr>
        <w:pStyle w:val="Paragraphedeliste"/>
        <w:numPr>
          <w:ilvl w:val="0"/>
          <w:numId w:val="10"/>
        </w:numPr>
        <w:tabs>
          <w:tab w:val="left" w:pos="2559"/>
          <w:tab w:val="left" w:leader="dot" w:pos="5400"/>
        </w:tabs>
        <w:ind w:left="2268" w:hanging="283"/>
        <w:rPr>
          <w:rFonts w:cs="Arial"/>
          <w:b/>
          <w:szCs w:val="24"/>
        </w:rPr>
      </w:pPr>
      <w:r w:rsidRPr="00326A55">
        <w:rPr>
          <w:rFonts w:cs="Arial"/>
          <w:szCs w:val="24"/>
        </w:rPr>
        <w:t>Exsanguino-transfusion</w:t>
      </w:r>
    </w:p>
    <w:p w:rsidR="007C1499" w:rsidRPr="00326A55" w:rsidRDefault="007C1499" w:rsidP="007C1499">
      <w:pPr>
        <w:pStyle w:val="Paragraphedeliste"/>
        <w:numPr>
          <w:ilvl w:val="0"/>
          <w:numId w:val="10"/>
        </w:numPr>
        <w:tabs>
          <w:tab w:val="left" w:pos="2559"/>
          <w:tab w:val="left" w:leader="dot" w:pos="5400"/>
        </w:tabs>
        <w:ind w:left="2268" w:hanging="283"/>
        <w:rPr>
          <w:rFonts w:cs="Arial"/>
          <w:b/>
          <w:szCs w:val="24"/>
        </w:rPr>
      </w:pPr>
      <w:r>
        <w:rPr>
          <w:rFonts w:cs="Arial"/>
          <w:szCs w:val="24"/>
        </w:rPr>
        <w:t>Transfusion i</w:t>
      </w:r>
      <w:r w:rsidRPr="00326A55">
        <w:rPr>
          <w:rFonts w:cs="Arial"/>
          <w:szCs w:val="24"/>
        </w:rPr>
        <w:t>n utero</w:t>
      </w:r>
    </w:p>
    <w:p w:rsidR="007C1499" w:rsidRPr="00326A55" w:rsidRDefault="007C1499" w:rsidP="007C1499">
      <w:pPr>
        <w:pStyle w:val="Paragraphedeliste"/>
        <w:numPr>
          <w:ilvl w:val="0"/>
          <w:numId w:val="10"/>
        </w:numPr>
        <w:tabs>
          <w:tab w:val="left" w:pos="2559"/>
          <w:tab w:val="left" w:leader="dot" w:pos="5400"/>
        </w:tabs>
        <w:ind w:left="2268" w:hanging="283"/>
        <w:rPr>
          <w:rFonts w:cs="Arial"/>
          <w:b/>
          <w:szCs w:val="24"/>
        </w:rPr>
      </w:pPr>
      <w:r w:rsidRPr="00326A55">
        <w:rPr>
          <w:rFonts w:cs="Arial"/>
          <w:szCs w:val="24"/>
        </w:rPr>
        <w:t>Déficit immunitaire congénital</w:t>
      </w:r>
    </w:p>
    <w:p w:rsidR="007C1499" w:rsidRPr="00326A55" w:rsidRDefault="007C1499" w:rsidP="007C1499">
      <w:pPr>
        <w:pStyle w:val="Paragraphedeliste"/>
        <w:numPr>
          <w:ilvl w:val="0"/>
          <w:numId w:val="10"/>
        </w:numPr>
        <w:tabs>
          <w:tab w:val="left" w:pos="2559"/>
          <w:tab w:val="left" w:leader="dot" w:pos="5400"/>
        </w:tabs>
        <w:ind w:left="2268" w:hanging="283"/>
        <w:rPr>
          <w:rFonts w:cs="Arial"/>
          <w:b/>
          <w:szCs w:val="20"/>
        </w:rPr>
      </w:pPr>
      <w:r w:rsidRPr="00326A55">
        <w:rPr>
          <w:rFonts w:cs="Arial"/>
          <w:szCs w:val="24"/>
        </w:rPr>
        <w:t>Don dirigé d’un donneur apparenté</w:t>
      </w:r>
    </w:p>
    <w:p w:rsidR="007C1499" w:rsidRDefault="007C1499"/>
    <w:p w:rsidR="004501D1" w:rsidRDefault="004501D1"/>
    <w:p w:rsidR="004501D1" w:rsidRDefault="004501D1"/>
    <w:p w:rsidR="004501D1" w:rsidRDefault="004501D1"/>
    <w:p w:rsidR="004501D1" w:rsidRDefault="004501D1"/>
    <w:p w:rsidR="004501D1" w:rsidRDefault="004501D1"/>
    <w:p w:rsidR="004501D1" w:rsidRDefault="004501D1"/>
    <w:p w:rsidR="004501D1" w:rsidRDefault="004501D1"/>
    <w:p w:rsidR="004501D1" w:rsidRDefault="004501D1"/>
    <w:p w:rsidR="004501D1" w:rsidRDefault="004501D1"/>
    <w:p w:rsidR="004501D1" w:rsidRDefault="004501D1"/>
    <w:p w:rsidR="004501D1" w:rsidRDefault="004501D1"/>
    <w:p w:rsidR="004501D1" w:rsidRDefault="004501D1"/>
    <w:p w:rsidR="004501D1" w:rsidRDefault="004501D1"/>
    <w:p w:rsidR="004501D1" w:rsidRDefault="004501D1"/>
    <w:tbl>
      <w:tblPr>
        <w:tblStyle w:val="Grilledutableau"/>
        <w:tblW w:w="0" w:type="auto"/>
        <w:jc w:val="center"/>
        <w:tblLook w:val="04A0" w:firstRow="1" w:lastRow="0" w:firstColumn="1" w:lastColumn="0" w:noHBand="0" w:noVBand="1"/>
      </w:tblPr>
      <w:tblGrid>
        <w:gridCol w:w="1469"/>
        <w:gridCol w:w="1166"/>
        <w:gridCol w:w="1226"/>
        <w:gridCol w:w="1298"/>
        <w:gridCol w:w="1293"/>
        <w:gridCol w:w="1316"/>
        <w:gridCol w:w="1294"/>
      </w:tblGrid>
      <w:tr w:rsidR="004501D1" w:rsidRPr="003D4EF3" w:rsidTr="00E168D9">
        <w:trPr>
          <w:trHeight w:val="1295"/>
          <w:jc w:val="center"/>
        </w:trPr>
        <w:tc>
          <w:tcPr>
            <w:tcW w:w="1721" w:type="dxa"/>
            <w:vMerge w:val="restart"/>
            <w:vAlign w:val="center"/>
          </w:tcPr>
          <w:p w:rsidR="004501D1" w:rsidRPr="002D44E1" w:rsidRDefault="004501D1" w:rsidP="00E168D9">
            <w:pPr>
              <w:tabs>
                <w:tab w:val="left" w:pos="3510"/>
                <w:tab w:val="left" w:leader="dot" w:pos="5400"/>
              </w:tabs>
              <w:spacing w:line="276" w:lineRule="auto"/>
              <w:jc w:val="center"/>
              <w:rPr>
                <w:rFonts w:cs="Arial"/>
                <w:b/>
                <w:sz w:val="24"/>
                <w:szCs w:val="20"/>
              </w:rPr>
            </w:pPr>
            <w:r w:rsidRPr="002D44E1">
              <w:rPr>
                <w:rFonts w:cs="Arial"/>
                <w:b/>
                <w:sz w:val="24"/>
                <w:szCs w:val="20"/>
              </w:rPr>
              <w:t>Contexte</w:t>
            </w:r>
          </w:p>
          <w:p w:rsidR="004501D1" w:rsidRPr="002D44E1" w:rsidRDefault="004501D1" w:rsidP="00E168D9">
            <w:pPr>
              <w:tabs>
                <w:tab w:val="left" w:pos="3510"/>
                <w:tab w:val="left" w:leader="dot" w:pos="5400"/>
              </w:tabs>
              <w:spacing w:line="276" w:lineRule="auto"/>
              <w:jc w:val="center"/>
              <w:rPr>
                <w:rFonts w:cs="Arial"/>
                <w:b/>
                <w:sz w:val="24"/>
                <w:szCs w:val="20"/>
              </w:rPr>
            </w:pPr>
            <w:r w:rsidRPr="002D44E1">
              <w:rPr>
                <w:rFonts w:cs="Arial"/>
                <w:b/>
                <w:sz w:val="24"/>
                <w:szCs w:val="20"/>
              </w:rPr>
              <w:t>Le jour de la transfusion</w:t>
            </w:r>
          </w:p>
        </w:tc>
        <w:tc>
          <w:tcPr>
            <w:tcW w:w="4527" w:type="dxa"/>
            <w:gridSpan w:val="3"/>
            <w:vAlign w:val="center"/>
          </w:tcPr>
          <w:p w:rsidR="004501D1" w:rsidRPr="002D44E1" w:rsidRDefault="004501D1" w:rsidP="00E168D9">
            <w:pPr>
              <w:tabs>
                <w:tab w:val="left" w:pos="3510"/>
                <w:tab w:val="left" w:leader="dot" w:pos="5400"/>
              </w:tabs>
              <w:spacing w:line="276" w:lineRule="auto"/>
              <w:ind w:firstLine="567"/>
              <w:jc w:val="center"/>
              <w:rPr>
                <w:rFonts w:cs="Arial"/>
                <w:b/>
                <w:color w:val="FF0000"/>
                <w:sz w:val="24"/>
                <w:szCs w:val="24"/>
                <w:highlight w:val="yellow"/>
              </w:rPr>
            </w:pPr>
            <w:r w:rsidRPr="002D44E1">
              <w:rPr>
                <w:rFonts w:cs="Arial"/>
                <w:b/>
                <w:color w:val="FF0000"/>
                <w:sz w:val="24"/>
                <w:szCs w:val="24"/>
                <w:highlight w:val="yellow"/>
              </w:rPr>
              <w:t>Transfusion ≤ 20 ml/kg</w:t>
            </w:r>
          </w:p>
          <w:p w:rsidR="004501D1" w:rsidRPr="002D44E1" w:rsidRDefault="004501D1" w:rsidP="00E168D9">
            <w:pPr>
              <w:tabs>
                <w:tab w:val="left" w:pos="3510"/>
                <w:tab w:val="left" w:leader="dot" w:pos="5400"/>
              </w:tabs>
              <w:spacing w:line="276" w:lineRule="auto"/>
              <w:ind w:firstLine="567"/>
              <w:jc w:val="center"/>
              <w:rPr>
                <w:rFonts w:cs="Arial"/>
                <w:b/>
                <w:sz w:val="24"/>
                <w:szCs w:val="24"/>
                <w:highlight w:val="green"/>
              </w:rPr>
            </w:pPr>
            <w:r w:rsidRPr="002D44E1">
              <w:rPr>
                <w:rFonts w:cs="Arial"/>
                <w:b/>
                <w:color w:val="FF0000"/>
                <w:sz w:val="24"/>
                <w:szCs w:val="24"/>
                <w:highlight w:val="yellow"/>
              </w:rPr>
              <w:t>et débit≤ 5 ml/kg/h</w:t>
            </w:r>
          </w:p>
        </w:tc>
        <w:tc>
          <w:tcPr>
            <w:tcW w:w="4527" w:type="dxa"/>
            <w:gridSpan w:val="3"/>
            <w:vAlign w:val="center"/>
          </w:tcPr>
          <w:p w:rsidR="004501D1" w:rsidRPr="002D44E1" w:rsidRDefault="004501D1" w:rsidP="00E168D9">
            <w:pPr>
              <w:tabs>
                <w:tab w:val="left" w:pos="3510"/>
                <w:tab w:val="left" w:leader="dot" w:pos="5400"/>
              </w:tabs>
              <w:spacing w:line="276" w:lineRule="auto"/>
              <w:ind w:firstLine="567"/>
              <w:jc w:val="center"/>
              <w:rPr>
                <w:rFonts w:cs="Arial"/>
                <w:b/>
                <w:color w:val="FF0000"/>
                <w:sz w:val="24"/>
                <w:szCs w:val="20"/>
                <w:highlight w:val="yellow"/>
              </w:rPr>
            </w:pPr>
            <w:r w:rsidRPr="002D44E1">
              <w:rPr>
                <w:rFonts w:cs="Arial"/>
                <w:b/>
                <w:color w:val="FF0000"/>
                <w:sz w:val="24"/>
                <w:szCs w:val="20"/>
                <w:highlight w:val="yellow"/>
              </w:rPr>
              <w:t xml:space="preserve">Transfusion &gt; 20 ml/kg </w:t>
            </w:r>
            <w:proofErr w:type="gramStart"/>
            <w:r w:rsidRPr="002D44E1">
              <w:rPr>
                <w:rFonts w:cs="Arial"/>
                <w:b/>
                <w:color w:val="FF0000"/>
                <w:sz w:val="24"/>
                <w:szCs w:val="20"/>
                <w:highlight w:val="yellow"/>
              </w:rPr>
              <w:t>ou</w:t>
            </w:r>
            <w:proofErr w:type="gramEnd"/>
          </w:p>
          <w:p w:rsidR="004501D1" w:rsidRPr="002D44E1" w:rsidRDefault="004501D1" w:rsidP="00E168D9">
            <w:pPr>
              <w:tabs>
                <w:tab w:val="left" w:pos="3510"/>
                <w:tab w:val="left" w:leader="dot" w:pos="5400"/>
              </w:tabs>
              <w:spacing w:line="276" w:lineRule="auto"/>
              <w:ind w:firstLine="567"/>
              <w:jc w:val="center"/>
              <w:rPr>
                <w:rFonts w:cs="Arial"/>
                <w:b/>
                <w:color w:val="FF0000"/>
                <w:sz w:val="24"/>
                <w:szCs w:val="20"/>
                <w:highlight w:val="yellow"/>
              </w:rPr>
            </w:pPr>
            <w:r w:rsidRPr="002D44E1">
              <w:rPr>
                <w:rFonts w:cs="Arial"/>
                <w:b/>
                <w:color w:val="FF0000"/>
                <w:sz w:val="24"/>
                <w:szCs w:val="20"/>
                <w:highlight w:val="yellow"/>
              </w:rPr>
              <w:t xml:space="preserve">&gt;80ml/kg/24h </w:t>
            </w:r>
            <w:proofErr w:type="gramStart"/>
            <w:r w:rsidRPr="002D44E1">
              <w:rPr>
                <w:rFonts w:cs="Arial"/>
                <w:b/>
                <w:color w:val="FF0000"/>
                <w:sz w:val="24"/>
                <w:szCs w:val="20"/>
                <w:highlight w:val="yellow"/>
              </w:rPr>
              <w:t>ou</w:t>
            </w:r>
            <w:proofErr w:type="gramEnd"/>
          </w:p>
          <w:p w:rsidR="004501D1" w:rsidRPr="002D44E1" w:rsidRDefault="004501D1" w:rsidP="00E168D9">
            <w:pPr>
              <w:tabs>
                <w:tab w:val="left" w:pos="3510"/>
                <w:tab w:val="left" w:leader="dot" w:pos="5400"/>
              </w:tabs>
              <w:spacing w:line="276" w:lineRule="auto"/>
              <w:ind w:firstLine="567"/>
              <w:jc w:val="center"/>
              <w:rPr>
                <w:rFonts w:cs="Arial"/>
                <w:sz w:val="24"/>
                <w:szCs w:val="20"/>
                <w:highlight w:val="green"/>
              </w:rPr>
            </w:pPr>
            <w:r w:rsidRPr="002D44E1">
              <w:rPr>
                <w:rFonts w:cs="Arial"/>
                <w:b/>
                <w:color w:val="FF0000"/>
                <w:sz w:val="24"/>
                <w:szCs w:val="20"/>
                <w:highlight w:val="yellow"/>
              </w:rPr>
              <w:t>débit &gt;5 ml/kg/h</w:t>
            </w:r>
          </w:p>
        </w:tc>
      </w:tr>
      <w:tr w:rsidR="004501D1" w:rsidTr="00E168D9">
        <w:trPr>
          <w:trHeight w:val="1542"/>
          <w:jc w:val="center"/>
        </w:trPr>
        <w:tc>
          <w:tcPr>
            <w:tcW w:w="1721" w:type="dxa"/>
            <w:vMerge/>
          </w:tcPr>
          <w:p w:rsidR="004501D1" w:rsidRPr="002D44E1" w:rsidRDefault="004501D1" w:rsidP="00E168D9">
            <w:pPr>
              <w:tabs>
                <w:tab w:val="left" w:pos="3510"/>
                <w:tab w:val="left" w:leader="dot" w:pos="5400"/>
              </w:tabs>
              <w:spacing w:line="480" w:lineRule="auto"/>
              <w:ind w:firstLine="567"/>
              <w:jc w:val="both"/>
              <w:rPr>
                <w:rFonts w:cs="Arial"/>
                <w:b/>
                <w:sz w:val="24"/>
                <w:szCs w:val="20"/>
              </w:rPr>
            </w:pP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b/>
                <w:sz w:val="20"/>
                <w:szCs w:val="18"/>
              </w:rPr>
            </w:pPr>
            <w:r w:rsidRPr="002D44E1">
              <w:rPr>
                <w:rFonts w:cs="Arial"/>
                <w:b/>
                <w:sz w:val="20"/>
                <w:szCs w:val="18"/>
              </w:rPr>
              <w:t>Age&gt;32 semaines et Poids &gt;1500g</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b/>
                <w:sz w:val="20"/>
                <w:szCs w:val="18"/>
              </w:rPr>
            </w:pPr>
            <w:r w:rsidRPr="002D44E1">
              <w:rPr>
                <w:rFonts w:cs="Arial"/>
                <w:b/>
                <w:sz w:val="20"/>
                <w:szCs w:val="18"/>
              </w:rPr>
              <w:t>Age ≤32 semaines ou Poids &lt;1500g</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b/>
                <w:sz w:val="20"/>
                <w:szCs w:val="18"/>
              </w:rPr>
            </w:pPr>
            <w:r w:rsidRPr="002D44E1">
              <w:rPr>
                <w:rFonts w:cs="Arial"/>
                <w:b/>
                <w:sz w:val="20"/>
                <w:szCs w:val="18"/>
              </w:rPr>
              <w:t>Instabilité cardio-respiratoire</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b/>
                <w:sz w:val="20"/>
                <w:szCs w:val="18"/>
              </w:rPr>
            </w:pPr>
            <w:r w:rsidRPr="002D44E1">
              <w:rPr>
                <w:rFonts w:cs="Arial"/>
                <w:b/>
                <w:sz w:val="20"/>
                <w:szCs w:val="18"/>
              </w:rPr>
              <w:t>Poids/Age indifférents</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b/>
                <w:sz w:val="20"/>
                <w:szCs w:val="18"/>
              </w:rPr>
            </w:pPr>
            <w:r w:rsidRPr="002D44E1">
              <w:rPr>
                <w:rFonts w:cs="Arial"/>
                <w:b/>
                <w:sz w:val="20"/>
                <w:szCs w:val="18"/>
              </w:rPr>
              <w:t>Exsanguino-transfusion</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b/>
                <w:sz w:val="20"/>
                <w:szCs w:val="18"/>
              </w:rPr>
            </w:pPr>
            <w:r w:rsidRPr="002D44E1">
              <w:rPr>
                <w:rFonts w:cs="Arial"/>
                <w:b/>
                <w:sz w:val="20"/>
                <w:szCs w:val="18"/>
              </w:rPr>
              <w:t xml:space="preserve">Transfusion </w:t>
            </w:r>
          </w:p>
          <w:p w:rsidR="004501D1" w:rsidRPr="002D44E1" w:rsidRDefault="004501D1" w:rsidP="00E168D9">
            <w:pPr>
              <w:tabs>
                <w:tab w:val="left" w:pos="3510"/>
                <w:tab w:val="left" w:leader="dot" w:pos="5400"/>
              </w:tabs>
              <w:spacing w:line="276" w:lineRule="auto"/>
              <w:jc w:val="center"/>
              <w:rPr>
                <w:rFonts w:cs="Arial"/>
                <w:b/>
                <w:sz w:val="20"/>
                <w:szCs w:val="18"/>
              </w:rPr>
            </w:pPr>
            <w:r w:rsidRPr="002D44E1">
              <w:rPr>
                <w:rFonts w:cs="Arial"/>
                <w:b/>
                <w:sz w:val="20"/>
                <w:szCs w:val="18"/>
              </w:rPr>
              <w:t>in utero</w:t>
            </w:r>
          </w:p>
        </w:tc>
      </w:tr>
      <w:tr w:rsidR="004501D1" w:rsidTr="00E168D9">
        <w:trPr>
          <w:trHeight w:val="854"/>
          <w:jc w:val="center"/>
        </w:trPr>
        <w:tc>
          <w:tcPr>
            <w:tcW w:w="1721" w:type="dxa"/>
            <w:vAlign w:val="center"/>
          </w:tcPr>
          <w:p w:rsidR="004501D1" w:rsidRPr="002D44E1" w:rsidRDefault="004501D1" w:rsidP="00E168D9">
            <w:pPr>
              <w:tabs>
                <w:tab w:val="left" w:pos="3510"/>
                <w:tab w:val="left" w:leader="dot" w:pos="5400"/>
              </w:tabs>
              <w:spacing w:line="276" w:lineRule="auto"/>
              <w:jc w:val="center"/>
              <w:rPr>
                <w:rFonts w:cs="Arial"/>
                <w:b/>
                <w:sz w:val="24"/>
                <w:szCs w:val="20"/>
              </w:rPr>
            </w:pPr>
            <w:r w:rsidRPr="002D44E1">
              <w:rPr>
                <w:rFonts w:cs="Arial"/>
                <w:b/>
                <w:sz w:val="24"/>
                <w:szCs w:val="20"/>
              </w:rPr>
              <w:t>Age du CGR</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sz w:val="24"/>
                <w:szCs w:val="20"/>
              </w:rPr>
            </w:pPr>
            <w:r w:rsidRPr="002D44E1">
              <w:rPr>
                <w:rFonts w:cs="Arial"/>
                <w:sz w:val="24"/>
                <w:szCs w:val="20"/>
              </w:rPr>
              <w:t>42j</w:t>
            </w:r>
          </w:p>
        </w:tc>
        <w:tc>
          <w:tcPr>
            <w:tcW w:w="1509" w:type="dxa"/>
            <w:vAlign w:val="center"/>
          </w:tcPr>
          <w:p w:rsidR="004501D1" w:rsidRPr="002D44E1" w:rsidRDefault="004501D1" w:rsidP="00E168D9">
            <w:pPr>
              <w:tabs>
                <w:tab w:val="left" w:pos="3510"/>
                <w:tab w:val="left" w:leader="dot" w:pos="5400"/>
              </w:tabs>
              <w:spacing w:line="276" w:lineRule="auto"/>
              <w:ind w:firstLine="567"/>
              <w:rPr>
                <w:rFonts w:cs="Arial"/>
                <w:sz w:val="24"/>
                <w:szCs w:val="20"/>
              </w:rPr>
            </w:pPr>
            <w:r w:rsidRPr="002D44E1">
              <w:rPr>
                <w:rFonts w:cs="Arial"/>
                <w:sz w:val="24"/>
                <w:szCs w:val="20"/>
              </w:rPr>
              <w:t>28j</w:t>
            </w:r>
          </w:p>
        </w:tc>
        <w:tc>
          <w:tcPr>
            <w:tcW w:w="1509" w:type="dxa"/>
            <w:vAlign w:val="center"/>
          </w:tcPr>
          <w:p w:rsidR="004501D1" w:rsidRPr="002D44E1" w:rsidRDefault="004501D1" w:rsidP="00E168D9">
            <w:pPr>
              <w:tabs>
                <w:tab w:val="left" w:pos="3510"/>
                <w:tab w:val="left" w:leader="dot" w:pos="5400"/>
              </w:tabs>
              <w:spacing w:line="276" w:lineRule="auto"/>
              <w:ind w:firstLine="567"/>
              <w:rPr>
                <w:rFonts w:cs="Arial"/>
                <w:sz w:val="24"/>
                <w:szCs w:val="20"/>
              </w:rPr>
            </w:pPr>
            <w:r w:rsidRPr="002D44E1">
              <w:rPr>
                <w:rFonts w:cs="Arial"/>
                <w:sz w:val="24"/>
                <w:szCs w:val="20"/>
              </w:rPr>
              <w:t>14j</w:t>
            </w:r>
          </w:p>
        </w:tc>
        <w:tc>
          <w:tcPr>
            <w:tcW w:w="1509" w:type="dxa"/>
            <w:vAlign w:val="center"/>
          </w:tcPr>
          <w:p w:rsidR="004501D1" w:rsidRPr="002D44E1" w:rsidRDefault="004501D1" w:rsidP="00E168D9">
            <w:pPr>
              <w:tabs>
                <w:tab w:val="left" w:pos="3510"/>
                <w:tab w:val="left" w:leader="dot" w:pos="5400"/>
              </w:tabs>
              <w:spacing w:line="276" w:lineRule="auto"/>
              <w:ind w:firstLine="567"/>
              <w:rPr>
                <w:rFonts w:cs="Arial"/>
                <w:sz w:val="24"/>
                <w:szCs w:val="20"/>
              </w:rPr>
            </w:pPr>
            <w:r w:rsidRPr="002D44E1">
              <w:rPr>
                <w:rFonts w:cs="Arial"/>
                <w:sz w:val="24"/>
                <w:szCs w:val="20"/>
              </w:rPr>
              <w:t>5j</w:t>
            </w:r>
          </w:p>
        </w:tc>
        <w:tc>
          <w:tcPr>
            <w:tcW w:w="1509" w:type="dxa"/>
            <w:vAlign w:val="center"/>
          </w:tcPr>
          <w:p w:rsidR="004501D1" w:rsidRPr="002D44E1" w:rsidRDefault="004501D1" w:rsidP="00E168D9">
            <w:pPr>
              <w:tabs>
                <w:tab w:val="left" w:pos="3510"/>
                <w:tab w:val="left" w:leader="dot" w:pos="5400"/>
              </w:tabs>
              <w:spacing w:line="276" w:lineRule="auto"/>
              <w:ind w:firstLine="567"/>
              <w:rPr>
                <w:rFonts w:cs="Arial"/>
                <w:sz w:val="24"/>
                <w:szCs w:val="20"/>
              </w:rPr>
            </w:pPr>
            <w:r w:rsidRPr="002D44E1">
              <w:rPr>
                <w:rFonts w:cs="Arial"/>
                <w:sz w:val="24"/>
                <w:szCs w:val="20"/>
              </w:rPr>
              <w:t>5j</w:t>
            </w:r>
          </w:p>
        </w:tc>
        <w:tc>
          <w:tcPr>
            <w:tcW w:w="1509" w:type="dxa"/>
            <w:vAlign w:val="center"/>
          </w:tcPr>
          <w:p w:rsidR="004501D1" w:rsidRPr="002D44E1" w:rsidRDefault="004501D1" w:rsidP="00E168D9">
            <w:pPr>
              <w:tabs>
                <w:tab w:val="left" w:pos="3510"/>
                <w:tab w:val="left" w:leader="dot" w:pos="5400"/>
              </w:tabs>
              <w:spacing w:line="276" w:lineRule="auto"/>
              <w:ind w:firstLine="567"/>
              <w:rPr>
                <w:rFonts w:cs="Arial"/>
                <w:sz w:val="24"/>
                <w:szCs w:val="20"/>
              </w:rPr>
            </w:pPr>
            <w:r w:rsidRPr="002D44E1">
              <w:rPr>
                <w:rFonts w:cs="Arial"/>
                <w:sz w:val="24"/>
                <w:szCs w:val="20"/>
              </w:rPr>
              <w:t>5j</w:t>
            </w:r>
          </w:p>
        </w:tc>
      </w:tr>
      <w:tr w:rsidR="004501D1" w:rsidTr="00E168D9">
        <w:trPr>
          <w:trHeight w:val="839"/>
          <w:jc w:val="center"/>
        </w:trPr>
        <w:tc>
          <w:tcPr>
            <w:tcW w:w="1721" w:type="dxa"/>
            <w:vAlign w:val="center"/>
          </w:tcPr>
          <w:p w:rsidR="004501D1" w:rsidRPr="002D44E1" w:rsidRDefault="004501D1" w:rsidP="00E168D9">
            <w:pPr>
              <w:tabs>
                <w:tab w:val="left" w:pos="3510"/>
                <w:tab w:val="left" w:leader="dot" w:pos="5400"/>
              </w:tabs>
              <w:spacing w:line="276" w:lineRule="auto"/>
              <w:jc w:val="center"/>
              <w:rPr>
                <w:rFonts w:cs="Arial"/>
                <w:b/>
                <w:sz w:val="24"/>
                <w:szCs w:val="20"/>
              </w:rPr>
            </w:pPr>
            <w:r w:rsidRPr="002D44E1">
              <w:rPr>
                <w:rFonts w:cs="Arial"/>
                <w:b/>
                <w:sz w:val="24"/>
                <w:szCs w:val="20"/>
              </w:rPr>
              <w:t>Irradiation</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sz w:val="24"/>
                <w:szCs w:val="20"/>
              </w:rPr>
            </w:pPr>
            <w:r w:rsidRPr="002D44E1">
              <w:rPr>
                <w:rFonts w:cs="Arial"/>
                <w:sz w:val="24"/>
                <w:szCs w:val="20"/>
              </w:rPr>
              <w:t>NON</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b/>
                <w:sz w:val="24"/>
                <w:szCs w:val="20"/>
                <w:highlight w:val="green"/>
              </w:rPr>
            </w:pPr>
            <w:r w:rsidRPr="002D44E1">
              <w:rPr>
                <w:rFonts w:cs="Arial"/>
                <w:b/>
                <w:color w:val="FF0000"/>
                <w:sz w:val="24"/>
                <w:szCs w:val="20"/>
                <w:highlight w:val="yellow"/>
              </w:rPr>
              <w:t>OUI</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sz w:val="24"/>
                <w:szCs w:val="20"/>
              </w:rPr>
            </w:pPr>
            <w:r w:rsidRPr="002D44E1">
              <w:rPr>
                <w:rFonts w:cs="Arial"/>
                <w:sz w:val="24"/>
                <w:szCs w:val="20"/>
              </w:rPr>
              <w:t>Selon poids/âge</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b/>
                <w:color w:val="FF0000"/>
                <w:sz w:val="24"/>
                <w:szCs w:val="20"/>
                <w:highlight w:val="yellow"/>
              </w:rPr>
            </w:pPr>
            <w:r w:rsidRPr="002D44E1">
              <w:rPr>
                <w:rFonts w:cs="Arial"/>
                <w:b/>
                <w:color w:val="FF0000"/>
                <w:sz w:val="24"/>
                <w:szCs w:val="20"/>
                <w:highlight w:val="yellow"/>
              </w:rPr>
              <w:t>OUI&lt;48H</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b/>
                <w:color w:val="FF0000"/>
                <w:sz w:val="24"/>
                <w:szCs w:val="20"/>
                <w:highlight w:val="yellow"/>
              </w:rPr>
            </w:pPr>
            <w:r w:rsidRPr="002D44E1">
              <w:rPr>
                <w:rFonts w:cs="Arial"/>
                <w:b/>
                <w:color w:val="FF0000"/>
                <w:sz w:val="24"/>
                <w:szCs w:val="20"/>
                <w:highlight w:val="yellow"/>
              </w:rPr>
              <w:t>OUI&lt;48H</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b/>
                <w:color w:val="FF0000"/>
                <w:sz w:val="24"/>
                <w:szCs w:val="20"/>
                <w:highlight w:val="yellow"/>
              </w:rPr>
            </w:pPr>
            <w:r w:rsidRPr="002D44E1">
              <w:rPr>
                <w:rFonts w:cs="Arial"/>
                <w:b/>
                <w:color w:val="FF0000"/>
                <w:sz w:val="24"/>
                <w:szCs w:val="20"/>
                <w:highlight w:val="yellow"/>
              </w:rPr>
              <w:t>OUI&lt;24H</w:t>
            </w:r>
          </w:p>
        </w:tc>
      </w:tr>
      <w:tr w:rsidR="004501D1" w:rsidTr="00E168D9">
        <w:trPr>
          <w:trHeight w:val="978"/>
          <w:jc w:val="center"/>
        </w:trPr>
        <w:tc>
          <w:tcPr>
            <w:tcW w:w="1721" w:type="dxa"/>
            <w:vAlign w:val="center"/>
          </w:tcPr>
          <w:p w:rsidR="004501D1" w:rsidRPr="002D44E1" w:rsidRDefault="004501D1" w:rsidP="00E168D9">
            <w:pPr>
              <w:tabs>
                <w:tab w:val="left" w:pos="3510"/>
                <w:tab w:val="left" w:leader="dot" w:pos="5400"/>
              </w:tabs>
              <w:spacing w:line="276" w:lineRule="auto"/>
              <w:jc w:val="center"/>
              <w:rPr>
                <w:rFonts w:cs="Arial"/>
                <w:b/>
                <w:sz w:val="24"/>
                <w:szCs w:val="20"/>
              </w:rPr>
            </w:pPr>
            <w:r w:rsidRPr="002D44E1">
              <w:rPr>
                <w:rFonts w:cs="Arial"/>
                <w:b/>
                <w:sz w:val="24"/>
                <w:szCs w:val="20"/>
              </w:rPr>
              <w:t>Réduction de volume</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sz w:val="24"/>
                <w:szCs w:val="20"/>
              </w:rPr>
            </w:pPr>
            <w:r w:rsidRPr="002D44E1">
              <w:rPr>
                <w:rFonts w:cs="Arial"/>
                <w:sz w:val="24"/>
                <w:szCs w:val="20"/>
              </w:rPr>
              <w:t>NON</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sz w:val="24"/>
                <w:szCs w:val="20"/>
              </w:rPr>
            </w:pPr>
            <w:r w:rsidRPr="002D44E1">
              <w:rPr>
                <w:rFonts w:cs="Arial"/>
                <w:sz w:val="24"/>
                <w:szCs w:val="20"/>
              </w:rPr>
              <w:t>NON</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sz w:val="24"/>
                <w:szCs w:val="20"/>
              </w:rPr>
            </w:pPr>
            <w:r w:rsidRPr="002D44E1">
              <w:rPr>
                <w:rFonts w:cs="Arial"/>
                <w:sz w:val="24"/>
                <w:szCs w:val="20"/>
              </w:rPr>
              <w:t>NON</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sz w:val="24"/>
                <w:szCs w:val="20"/>
              </w:rPr>
            </w:pPr>
            <w:r w:rsidRPr="002D44E1">
              <w:rPr>
                <w:rFonts w:cs="Arial"/>
                <w:sz w:val="24"/>
                <w:szCs w:val="20"/>
              </w:rPr>
              <w:t>NON</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sz w:val="24"/>
                <w:szCs w:val="20"/>
              </w:rPr>
            </w:pPr>
            <w:r w:rsidRPr="002D44E1">
              <w:rPr>
                <w:rFonts w:cs="Arial"/>
                <w:sz w:val="24"/>
                <w:szCs w:val="20"/>
              </w:rPr>
              <w:t>NON</w:t>
            </w:r>
          </w:p>
        </w:tc>
        <w:tc>
          <w:tcPr>
            <w:tcW w:w="1509" w:type="dxa"/>
            <w:vAlign w:val="center"/>
          </w:tcPr>
          <w:p w:rsidR="004501D1" w:rsidRPr="002D44E1" w:rsidRDefault="004501D1" w:rsidP="00E168D9">
            <w:pPr>
              <w:tabs>
                <w:tab w:val="left" w:pos="3510"/>
                <w:tab w:val="left" w:leader="dot" w:pos="5400"/>
              </w:tabs>
              <w:spacing w:line="276" w:lineRule="auto"/>
              <w:jc w:val="center"/>
              <w:rPr>
                <w:rFonts w:cs="Arial"/>
                <w:b/>
                <w:sz w:val="24"/>
                <w:szCs w:val="20"/>
              </w:rPr>
            </w:pPr>
            <w:r w:rsidRPr="002D44E1">
              <w:rPr>
                <w:rFonts w:cs="Arial"/>
                <w:b/>
                <w:color w:val="FF0000"/>
                <w:sz w:val="24"/>
                <w:szCs w:val="20"/>
                <w:highlight w:val="yellow"/>
              </w:rPr>
              <w:t>OUI</w:t>
            </w:r>
          </w:p>
        </w:tc>
      </w:tr>
    </w:tbl>
    <w:p w:rsidR="004501D1" w:rsidRDefault="004501D1"/>
    <w:p w:rsidR="004501D1" w:rsidRPr="004501D1" w:rsidRDefault="004501D1" w:rsidP="004501D1">
      <w:pPr>
        <w:pStyle w:val="Paragraphedeliste"/>
        <w:numPr>
          <w:ilvl w:val="0"/>
          <w:numId w:val="10"/>
        </w:numPr>
        <w:tabs>
          <w:tab w:val="left" w:pos="3510"/>
        </w:tabs>
        <w:jc w:val="both"/>
        <w:rPr>
          <w:rFonts w:cs="Arial"/>
          <w:i/>
        </w:rPr>
      </w:pPr>
      <w:r w:rsidRPr="004501D1">
        <w:rPr>
          <w:rFonts w:cs="Arial"/>
          <w:i/>
          <w:u w:val="single"/>
        </w:rPr>
        <w:t>Volume à transfuser</w:t>
      </w:r>
      <w:r w:rsidRPr="004501D1">
        <w:rPr>
          <w:rFonts w:cs="Arial"/>
          <w:i/>
        </w:rPr>
        <w:t xml:space="preserve"> : </w:t>
      </w:r>
      <w:r w:rsidRPr="004501D1">
        <w:rPr>
          <w:rFonts w:cs="Arial"/>
          <w:i/>
        </w:rPr>
        <w:tab/>
      </w:r>
    </w:p>
    <w:p w:rsidR="004501D1" w:rsidRPr="00E34610" w:rsidRDefault="004501D1" w:rsidP="004501D1">
      <w:pPr>
        <w:tabs>
          <w:tab w:val="left" w:pos="3510"/>
        </w:tabs>
        <w:jc w:val="center"/>
        <w:rPr>
          <w:rFonts w:cs="Arial"/>
          <w:b/>
        </w:rPr>
      </w:pPr>
      <w:r w:rsidRPr="00E34610">
        <w:rPr>
          <w:rFonts w:cs="Arial"/>
        </w:rPr>
        <w:t>En pratique 15 à 20ml</w:t>
      </w:r>
      <w:r>
        <w:rPr>
          <w:rFonts w:cs="Arial"/>
        </w:rPr>
        <w:t>/</w:t>
      </w:r>
      <w:r w:rsidRPr="00E34610">
        <w:rPr>
          <w:rFonts w:cs="Arial"/>
        </w:rPr>
        <w:t>Kg ou plus précisément :</w:t>
      </w:r>
    </w:p>
    <w:p w:rsidR="004501D1" w:rsidRPr="00E34610" w:rsidRDefault="004501D1" w:rsidP="004501D1">
      <w:pPr>
        <w:pStyle w:val="Paragraphedeliste"/>
        <w:numPr>
          <w:ilvl w:val="0"/>
          <w:numId w:val="10"/>
        </w:numPr>
        <w:tabs>
          <w:tab w:val="left" w:pos="3510"/>
          <w:tab w:val="left" w:leader="dot" w:pos="5400"/>
        </w:tabs>
        <w:jc w:val="both"/>
        <w:rPr>
          <w:rFonts w:cs="Arial"/>
        </w:rPr>
      </w:pPr>
      <w:r w:rsidRPr="00E34610">
        <w:rPr>
          <w:rFonts w:cs="Arial"/>
        </w:rPr>
        <w:t>(Hématocrite souhaité – hématocrite actuel) x poids (kg) x90/</w:t>
      </w:r>
      <w:proofErr w:type="spellStart"/>
      <w:r w:rsidRPr="00E34610">
        <w:rPr>
          <w:rFonts w:cs="Arial"/>
        </w:rPr>
        <w:t>ht</w:t>
      </w:r>
      <w:proofErr w:type="spellEnd"/>
      <w:r w:rsidRPr="00E34610">
        <w:rPr>
          <w:rFonts w:cs="Arial"/>
        </w:rPr>
        <w:t xml:space="preserve"> du culot</w:t>
      </w:r>
    </w:p>
    <w:p w:rsidR="004501D1" w:rsidRPr="00E34610" w:rsidRDefault="004501D1" w:rsidP="004501D1">
      <w:pPr>
        <w:tabs>
          <w:tab w:val="left" w:pos="3510"/>
          <w:tab w:val="left" w:leader="dot" w:pos="5400"/>
        </w:tabs>
        <w:jc w:val="center"/>
        <w:rPr>
          <w:rFonts w:cs="Arial"/>
          <w:color w:val="0070C0"/>
        </w:rPr>
      </w:pPr>
      <w:proofErr w:type="gramStart"/>
      <w:r w:rsidRPr="00E34610">
        <w:rPr>
          <w:rFonts w:cs="Arial"/>
          <w:color w:val="0070C0"/>
          <w:highlight w:val="yellow"/>
        </w:rPr>
        <w:t>Ou</w:t>
      </w:r>
      <w:proofErr w:type="gramEnd"/>
    </w:p>
    <w:p w:rsidR="004501D1" w:rsidRPr="00E34610" w:rsidRDefault="004501D1" w:rsidP="004501D1">
      <w:pPr>
        <w:pStyle w:val="Paragraphedeliste"/>
        <w:numPr>
          <w:ilvl w:val="0"/>
          <w:numId w:val="10"/>
        </w:numPr>
        <w:tabs>
          <w:tab w:val="left" w:pos="3510"/>
          <w:tab w:val="left" w:leader="dot" w:pos="5400"/>
        </w:tabs>
        <w:jc w:val="both"/>
        <w:rPr>
          <w:rFonts w:cs="Arial"/>
        </w:rPr>
      </w:pPr>
      <w:r w:rsidRPr="00E34610">
        <w:rPr>
          <w:rFonts w:cs="Arial"/>
        </w:rPr>
        <w:t>Poids x (</w:t>
      </w:r>
      <w:proofErr w:type="spellStart"/>
      <w:r w:rsidRPr="00E34610">
        <w:rPr>
          <w:rFonts w:cs="Arial"/>
        </w:rPr>
        <w:t>Hb</w:t>
      </w:r>
      <w:proofErr w:type="spellEnd"/>
      <w:r w:rsidRPr="00E34610">
        <w:rPr>
          <w:rFonts w:cs="Arial"/>
        </w:rPr>
        <w:t xml:space="preserve"> souhaitée – </w:t>
      </w:r>
      <w:proofErr w:type="spellStart"/>
      <w:r w:rsidRPr="00E34610">
        <w:rPr>
          <w:rFonts w:cs="Arial"/>
        </w:rPr>
        <w:t>Hb</w:t>
      </w:r>
      <w:proofErr w:type="spellEnd"/>
      <w:r w:rsidRPr="00E34610">
        <w:rPr>
          <w:rFonts w:cs="Arial"/>
        </w:rPr>
        <w:t xml:space="preserve"> actuelle) x 4 ml</w:t>
      </w:r>
    </w:p>
    <w:p w:rsidR="004501D1" w:rsidRPr="00E34610" w:rsidRDefault="004501D1" w:rsidP="004501D1">
      <w:pPr>
        <w:tabs>
          <w:tab w:val="left" w:pos="3510"/>
          <w:tab w:val="left" w:leader="dot" w:pos="5400"/>
        </w:tabs>
        <w:jc w:val="center"/>
        <w:rPr>
          <w:rFonts w:cs="Arial"/>
          <w:color w:val="0070C0"/>
        </w:rPr>
      </w:pPr>
      <w:proofErr w:type="gramStart"/>
      <w:r w:rsidRPr="00E34610">
        <w:rPr>
          <w:rFonts w:cs="Arial"/>
          <w:color w:val="0070C0"/>
          <w:highlight w:val="yellow"/>
        </w:rPr>
        <w:t>Ou</w:t>
      </w:r>
      <w:proofErr w:type="gramEnd"/>
    </w:p>
    <w:p w:rsidR="004501D1" w:rsidRDefault="004501D1" w:rsidP="004501D1">
      <w:pPr>
        <w:pStyle w:val="Paragraphedeliste"/>
        <w:numPr>
          <w:ilvl w:val="0"/>
          <w:numId w:val="10"/>
        </w:numPr>
        <w:tabs>
          <w:tab w:val="left" w:pos="3510"/>
          <w:tab w:val="left" w:leader="dot" w:pos="5400"/>
        </w:tabs>
        <w:jc w:val="both"/>
        <w:rPr>
          <w:rFonts w:cs="Arial"/>
        </w:rPr>
      </w:pPr>
      <w:r w:rsidRPr="00E34610">
        <w:rPr>
          <w:rFonts w:cs="Arial"/>
        </w:rPr>
        <w:t>15 à 20 ml/kg par voie intraveineuse lente en 3 à 4 heures (5 ml/kg/h</w:t>
      </w:r>
      <w:r>
        <w:rPr>
          <w:rFonts w:cs="Arial"/>
        </w:rPr>
        <w:t xml:space="preserve"> </w:t>
      </w:r>
      <w:r w:rsidRPr="00E34610">
        <w:rPr>
          <w:rFonts w:cs="Arial"/>
        </w:rPr>
        <w:t>à adapter par le pédiatre)</w:t>
      </w:r>
    </w:p>
    <w:p w:rsidR="004501D1" w:rsidRPr="00E34610" w:rsidRDefault="004501D1" w:rsidP="004501D1">
      <w:pPr>
        <w:tabs>
          <w:tab w:val="left" w:pos="3510"/>
          <w:tab w:val="left" w:leader="dot" w:pos="5400"/>
        </w:tabs>
        <w:ind w:left="360"/>
        <w:jc w:val="both"/>
        <w:rPr>
          <w:rFonts w:cs="Arial"/>
          <w:color w:val="FF0000"/>
          <w:sz w:val="24"/>
          <w:u w:val="single"/>
        </w:rPr>
      </w:pPr>
    </w:p>
    <w:p w:rsidR="004501D1" w:rsidRPr="00E34610" w:rsidRDefault="004501D1" w:rsidP="004501D1">
      <w:pPr>
        <w:pStyle w:val="Paragraphedeliste"/>
        <w:numPr>
          <w:ilvl w:val="0"/>
          <w:numId w:val="13"/>
        </w:numPr>
        <w:tabs>
          <w:tab w:val="left" w:pos="3510"/>
          <w:tab w:val="left" w:leader="dot" w:pos="5400"/>
        </w:tabs>
        <w:jc w:val="both"/>
        <w:rPr>
          <w:rFonts w:cs="Arial"/>
          <w:color w:val="FF0000"/>
          <w:sz w:val="24"/>
          <w:u w:val="single"/>
        </w:rPr>
      </w:pPr>
      <w:r w:rsidRPr="00E34610">
        <w:rPr>
          <w:rFonts w:cs="Arial"/>
          <w:color w:val="0070C0"/>
          <w:sz w:val="28"/>
          <w:u w:val="single"/>
        </w:rPr>
        <w:t>Transfusion de concentré plaquettaire :</w:t>
      </w:r>
    </w:p>
    <w:p w:rsidR="004501D1" w:rsidRPr="00E34610" w:rsidRDefault="004501D1" w:rsidP="004501D1">
      <w:pPr>
        <w:pStyle w:val="Paragraphedeliste"/>
        <w:tabs>
          <w:tab w:val="left" w:pos="3510"/>
          <w:tab w:val="left" w:leader="dot" w:pos="5400"/>
        </w:tabs>
        <w:jc w:val="both"/>
        <w:rPr>
          <w:rFonts w:cs="Arial"/>
          <w:color w:val="FF0000"/>
          <w:sz w:val="24"/>
          <w:u w:val="single"/>
        </w:rPr>
      </w:pPr>
    </w:p>
    <w:p w:rsidR="004501D1" w:rsidRPr="00E34610" w:rsidRDefault="004501D1" w:rsidP="004501D1">
      <w:pPr>
        <w:tabs>
          <w:tab w:val="left" w:pos="10497"/>
        </w:tabs>
        <w:ind w:left="291" w:right="288" w:firstLine="567"/>
        <w:jc w:val="both"/>
        <w:rPr>
          <w:rFonts w:cs="Arial"/>
          <w:szCs w:val="20"/>
        </w:rPr>
      </w:pPr>
      <w:r w:rsidRPr="00E34610">
        <w:rPr>
          <w:rFonts w:cs="Arial"/>
          <w:szCs w:val="20"/>
        </w:rPr>
        <w:t xml:space="preserve">Une thrombopénie survenant dans les 72 heures suivant la naissance est souvent secondaire à des facteurs anténataux (hypoxie, infections…) ou à </w:t>
      </w:r>
      <w:proofErr w:type="gramStart"/>
      <w:r w:rsidRPr="00E34610">
        <w:rPr>
          <w:rFonts w:cs="Arial"/>
          <w:szCs w:val="20"/>
        </w:rPr>
        <w:t>une infection péri</w:t>
      </w:r>
      <w:proofErr w:type="gramEnd"/>
      <w:r w:rsidRPr="00E34610">
        <w:rPr>
          <w:rFonts w:cs="Arial"/>
          <w:szCs w:val="20"/>
        </w:rPr>
        <w:t xml:space="preserve"> ou post natale acquise. Cependant, elle peut constituer le premier signe d’une CIVD ou d’une septicémie.</w:t>
      </w:r>
    </w:p>
    <w:p w:rsidR="004501D1" w:rsidRPr="00E34610" w:rsidRDefault="004501D1" w:rsidP="004501D1">
      <w:pPr>
        <w:tabs>
          <w:tab w:val="left" w:pos="10497"/>
        </w:tabs>
        <w:ind w:left="291" w:right="288" w:firstLine="567"/>
        <w:jc w:val="both"/>
        <w:rPr>
          <w:rFonts w:cs="Arial"/>
          <w:szCs w:val="20"/>
        </w:rPr>
      </w:pPr>
      <w:r w:rsidRPr="00E34610">
        <w:rPr>
          <w:rFonts w:cs="Arial"/>
          <w:szCs w:val="20"/>
        </w:rPr>
        <w:t xml:space="preserve">En principe, une thrombopénie sévère et d’installation précoce est due au passage </w:t>
      </w:r>
      <w:proofErr w:type="spellStart"/>
      <w:r w:rsidRPr="00E34610">
        <w:rPr>
          <w:rFonts w:cs="Arial"/>
          <w:szCs w:val="20"/>
        </w:rPr>
        <w:t>transplacentaire</w:t>
      </w:r>
      <w:proofErr w:type="spellEnd"/>
      <w:r w:rsidRPr="00E34610">
        <w:rPr>
          <w:rFonts w:cs="Arial"/>
          <w:szCs w:val="20"/>
        </w:rPr>
        <w:t xml:space="preserve"> d’AC immuns maternels (numération plaquette normale chez la mère).</w:t>
      </w:r>
    </w:p>
    <w:p w:rsidR="004501D1" w:rsidRPr="00E34610" w:rsidRDefault="004501D1" w:rsidP="004501D1">
      <w:pPr>
        <w:tabs>
          <w:tab w:val="left" w:pos="10497"/>
        </w:tabs>
        <w:ind w:left="291" w:right="288" w:firstLine="567"/>
        <w:jc w:val="both"/>
        <w:rPr>
          <w:rFonts w:cs="Arial"/>
          <w:szCs w:val="20"/>
        </w:rPr>
      </w:pPr>
      <w:r w:rsidRPr="00E34610">
        <w:rPr>
          <w:rFonts w:cs="Arial"/>
          <w:szCs w:val="20"/>
        </w:rPr>
        <w:t>En cas d’antécédents maternels de thrombopénie, la cause est le plus souvent auto-immune.</w:t>
      </w:r>
    </w:p>
    <w:p w:rsidR="004501D1" w:rsidRPr="00E34610" w:rsidRDefault="004501D1" w:rsidP="004501D1">
      <w:pPr>
        <w:tabs>
          <w:tab w:val="left" w:pos="10497"/>
        </w:tabs>
        <w:ind w:left="291" w:right="288" w:firstLine="567"/>
        <w:jc w:val="both"/>
        <w:rPr>
          <w:rFonts w:cs="Arial"/>
          <w:szCs w:val="20"/>
        </w:rPr>
      </w:pPr>
    </w:p>
    <w:p w:rsidR="004501D1" w:rsidRPr="00E34610" w:rsidRDefault="004501D1" w:rsidP="004501D1">
      <w:pPr>
        <w:tabs>
          <w:tab w:val="left" w:pos="10497"/>
        </w:tabs>
        <w:ind w:left="291" w:right="288" w:firstLine="567"/>
        <w:jc w:val="both"/>
        <w:rPr>
          <w:rFonts w:cs="Arial"/>
          <w:szCs w:val="20"/>
        </w:rPr>
      </w:pPr>
      <w:r w:rsidRPr="00E34610">
        <w:rPr>
          <w:rFonts w:cs="Arial"/>
          <w:szCs w:val="20"/>
        </w:rPr>
        <w:t xml:space="preserve">Un Purpura thrombopénique immunologique peut être découvert </w:t>
      </w:r>
      <w:proofErr w:type="gramStart"/>
      <w:r w:rsidRPr="00E34610">
        <w:rPr>
          <w:rFonts w:cs="Arial"/>
          <w:szCs w:val="20"/>
        </w:rPr>
        <w:t>ou</w:t>
      </w:r>
      <w:proofErr w:type="gramEnd"/>
      <w:r w:rsidRPr="00E34610">
        <w:rPr>
          <w:rFonts w:cs="Arial"/>
          <w:szCs w:val="20"/>
        </w:rPr>
        <w:t xml:space="preserve"> s’aggraver lors de la grossesse. Il existe un risque faible mais non nul de thrombopénie néonatale dû au passage </w:t>
      </w:r>
      <w:proofErr w:type="spellStart"/>
      <w:r w:rsidRPr="00E34610">
        <w:rPr>
          <w:rFonts w:cs="Arial"/>
          <w:szCs w:val="20"/>
        </w:rPr>
        <w:t>transplacentaire</w:t>
      </w:r>
      <w:proofErr w:type="spellEnd"/>
      <w:r w:rsidRPr="00E34610">
        <w:rPr>
          <w:rFonts w:cs="Arial"/>
          <w:szCs w:val="20"/>
        </w:rPr>
        <w:t xml:space="preserve"> des anticorps anti-plaquettes maternels vers le fœtus.</w:t>
      </w:r>
    </w:p>
    <w:p w:rsidR="004501D1" w:rsidRPr="00E34610" w:rsidRDefault="004501D1" w:rsidP="004501D1">
      <w:pPr>
        <w:pStyle w:val="Paragraphedeliste"/>
        <w:numPr>
          <w:ilvl w:val="0"/>
          <w:numId w:val="10"/>
        </w:numPr>
        <w:rPr>
          <w:rFonts w:cs="Arial"/>
          <w:b/>
          <w:i/>
          <w:szCs w:val="20"/>
          <w:u w:val="single"/>
        </w:rPr>
      </w:pPr>
      <w:r w:rsidRPr="00E34610">
        <w:rPr>
          <w:rFonts w:cs="Arial"/>
          <w:i/>
          <w:szCs w:val="20"/>
          <w:u w:val="single"/>
        </w:rPr>
        <w:t>Choix du CP à transfuser :</w:t>
      </w:r>
    </w:p>
    <w:p w:rsidR="004501D1" w:rsidRPr="00E34610" w:rsidRDefault="004501D1" w:rsidP="004501D1">
      <w:pPr>
        <w:ind w:firstLine="567"/>
        <w:rPr>
          <w:rFonts w:cs="Arial"/>
          <w:szCs w:val="20"/>
        </w:rPr>
      </w:pPr>
      <w:r w:rsidRPr="00E34610">
        <w:rPr>
          <w:rFonts w:cs="Arial"/>
          <w:szCs w:val="20"/>
        </w:rPr>
        <w:t>Dose de 0,1 à 0,2 x 10</w:t>
      </w:r>
      <w:r w:rsidRPr="00E34610">
        <w:rPr>
          <w:rFonts w:cs="Arial"/>
          <w:szCs w:val="20"/>
          <w:vertAlign w:val="superscript"/>
        </w:rPr>
        <w:t>11</w:t>
      </w:r>
      <w:r w:rsidRPr="00E34610">
        <w:rPr>
          <w:rFonts w:cs="Arial"/>
          <w:szCs w:val="20"/>
        </w:rPr>
        <w:t>/kg (15 ml/kg sans dépasser 20 ml/kg)</w:t>
      </w:r>
    </w:p>
    <w:p w:rsidR="004501D1" w:rsidRPr="00E34610" w:rsidRDefault="004501D1" w:rsidP="004501D1">
      <w:pPr>
        <w:pStyle w:val="Paragraphedeliste"/>
        <w:numPr>
          <w:ilvl w:val="0"/>
          <w:numId w:val="10"/>
        </w:numPr>
        <w:rPr>
          <w:rFonts w:cs="Arial"/>
          <w:szCs w:val="20"/>
        </w:rPr>
      </w:pPr>
      <w:proofErr w:type="spellStart"/>
      <w:r w:rsidRPr="00E34610">
        <w:rPr>
          <w:rFonts w:cs="Arial"/>
          <w:color w:val="FF0000"/>
          <w:szCs w:val="20"/>
        </w:rPr>
        <w:t>Isogroupe</w:t>
      </w:r>
      <w:proofErr w:type="spellEnd"/>
      <w:r w:rsidRPr="00E34610">
        <w:rPr>
          <w:rFonts w:cs="Arial"/>
          <w:color w:val="FF0000"/>
          <w:szCs w:val="20"/>
        </w:rPr>
        <w:t> </w:t>
      </w:r>
      <w:r w:rsidRPr="00E34610">
        <w:rPr>
          <w:rFonts w:cs="Arial"/>
          <w:szCs w:val="20"/>
        </w:rPr>
        <w:t>:</w:t>
      </w:r>
      <w:r w:rsidRPr="00E34610">
        <w:rPr>
          <w:rFonts w:cs="Arial"/>
          <w:color w:val="FF0000"/>
          <w:szCs w:val="20"/>
        </w:rPr>
        <w:t xml:space="preserve"> </w:t>
      </w:r>
      <w:r w:rsidRPr="00E34610">
        <w:rPr>
          <w:rFonts w:cs="Arial"/>
          <w:szCs w:val="20"/>
        </w:rPr>
        <w:t>ABO RH1 si possible</w:t>
      </w:r>
    </w:p>
    <w:p w:rsidR="004501D1" w:rsidRPr="00E34610" w:rsidRDefault="004501D1" w:rsidP="004501D1">
      <w:pPr>
        <w:pStyle w:val="Paragraphedeliste"/>
        <w:numPr>
          <w:ilvl w:val="0"/>
          <w:numId w:val="10"/>
        </w:numPr>
        <w:rPr>
          <w:rFonts w:cs="Arial"/>
          <w:color w:val="FF0000"/>
          <w:szCs w:val="20"/>
        </w:rPr>
      </w:pPr>
      <w:r w:rsidRPr="00E34610">
        <w:rPr>
          <w:rFonts w:cs="Arial"/>
          <w:color w:val="FF0000"/>
          <w:szCs w:val="20"/>
        </w:rPr>
        <w:t xml:space="preserve">Irradié : </w:t>
      </w:r>
    </w:p>
    <w:p w:rsidR="004501D1" w:rsidRPr="00E34610" w:rsidRDefault="004501D1" w:rsidP="004501D1">
      <w:pPr>
        <w:pStyle w:val="Paragraphedeliste"/>
        <w:numPr>
          <w:ilvl w:val="0"/>
          <w:numId w:val="10"/>
        </w:numPr>
        <w:rPr>
          <w:rFonts w:cs="Arial"/>
          <w:szCs w:val="20"/>
        </w:rPr>
      </w:pPr>
      <w:r w:rsidRPr="00E34610">
        <w:rPr>
          <w:rFonts w:cs="Arial"/>
          <w:szCs w:val="20"/>
        </w:rPr>
        <w:t>Nouveau-né &lt;1500g ou prématuré &lt;32 Semaines</w:t>
      </w:r>
    </w:p>
    <w:p w:rsidR="004501D1" w:rsidRPr="00E34610" w:rsidRDefault="004501D1" w:rsidP="004501D1">
      <w:pPr>
        <w:pStyle w:val="Paragraphedeliste"/>
        <w:numPr>
          <w:ilvl w:val="0"/>
          <w:numId w:val="10"/>
        </w:numPr>
        <w:rPr>
          <w:rFonts w:cs="Arial"/>
          <w:szCs w:val="20"/>
        </w:rPr>
      </w:pPr>
      <w:r w:rsidRPr="00E34610">
        <w:rPr>
          <w:rFonts w:cs="Arial"/>
          <w:szCs w:val="20"/>
        </w:rPr>
        <w:t>Transfusion In Utero ou transfusion chez le nouveau-né d’un volum</w:t>
      </w:r>
      <w:r>
        <w:rPr>
          <w:rFonts w:cs="Arial"/>
          <w:szCs w:val="20"/>
        </w:rPr>
        <w:t>e de PSL &gt; à une masse sanguine</w:t>
      </w:r>
    </w:p>
    <w:p w:rsidR="004501D1" w:rsidRPr="00E34610" w:rsidRDefault="004501D1" w:rsidP="004501D1">
      <w:pPr>
        <w:pStyle w:val="Paragraphedeliste"/>
        <w:numPr>
          <w:ilvl w:val="0"/>
          <w:numId w:val="10"/>
        </w:numPr>
        <w:rPr>
          <w:rFonts w:cs="Arial"/>
          <w:szCs w:val="20"/>
        </w:rPr>
      </w:pPr>
      <w:r w:rsidRPr="00E34610">
        <w:rPr>
          <w:rFonts w:cs="Arial"/>
          <w:szCs w:val="20"/>
        </w:rPr>
        <w:t>Plaquettes issu</w:t>
      </w:r>
      <w:r>
        <w:rPr>
          <w:rFonts w:cs="Arial"/>
          <w:szCs w:val="20"/>
        </w:rPr>
        <w:t>e</w:t>
      </w:r>
      <w:r w:rsidRPr="00E34610">
        <w:rPr>
          <w:rFonts w:cs="Arial"/>
          <w:szCs w:val="20"/>
        </w:rPr>
        <w:t>s d’un don dirigé intrafamilial</w:t>
      </w:r>
    </w:p>
    <w:p w:rsidR="004501D1" w:rsidRPr="00E34610" w:rsidRDefault="004501D1" w:rsidP="004501D1">
      <w:pPr>
        <w:pStyle w:val="Paragraphedeliste"/>
        <w:numPr>
          <w:ilvl w:val="0"/>
          <w:numId w:val="10"/>
        </w:numPr>
        <w:rPr>
          <w:rFonts w:cs="Arial"/>
          <w:szCs w:val="20"/>
        </w:rPr>
      </w:pPr>
      <w:r w:rsidRPr="00E34610">
        <w:rPr>
          <w:rFonts w:cs="Arial"/>
          <w:szCs w:val="20"/>
        </w:rPr>
        <w:t>Plaquettes HLA compatibles</w:t>
      </w:r>
    </w:p>
    <w:p w:rsidR="004501D1" w:rsidRPr="00E34610" w:rsidRDefault="004501D1" w:rsidP="004501D1">
      <w:pPr>
        <w:pStyle w:val="Paragraphedeliste"/>
        <w:numPr>
          <w:ilvl w:val="0"/>
          <w:numId w:val="10"/>
        </w:numPr>
        <w:rPr>
          <w:rFonts w:cs="Arial"/>
          <w:szCs w:val="20"/>
        </w:rPr>
      </w:pPr>
      <w:r w:rsidRPr="00E34610">
        <w:rPr>
          <w:rFonts w:cs="Arial"/>
          <w:szCs w:val="20"/>
        </w:rPr>
        <w:t>Déficit immunitaire congénital</w:t>
      </w:r>
    </w:p>
    <w:p w:rsidR="004501D1" w:rsidRPr="00E34610" w:rsidRDefault="004501D1" w:rsidP="004501D1">
      <w:pPr>
        <w:pStyle w:val="Paragraphedeliste"/>
        <w:numPr>
          <w:ilvl w:val="0"/>
          <w:numId w:val="10"/>
        </w:numPr>
        <w:rPr>
          <w:rFonts w:cs="Arial"/>
          <w:color w:val="FF0000"/>
          <w:szCs w:val="20"/>
        </w:rPr>
      </w:pPr>
      <w:proofErr w:type="spellStart"/>
      <w:r w:rsidRPr="00E34610">
        <w:rPr>
          <w:rFonts w:cs="Arial"/>
          <w:color w:val="FF0000"/>
          <w:szCs w:val="20"/>
        </w:rPr>
        <w:t>Déplasmatisé</w:t>
      </w:r>
      <w:proofErr w:type="spellEnd"/>
      <w:r w:rsidRPr="00E34610">
        <w:rPr>
          <w:rFonts w:cs="Arial"/>
          <w:color w:val="FF0000"/>
          <w:szCs w:val="20"/>
        </w:rPr>
        <w:t xml:space="preserve"> : </w:t>
      </w:r>
    </w:p>
    <w:p w:rsidR="004501D1" w:rsidRPr="00E34610" w:rsidRDefault="004501D1" w:rsidP="004501D1">
      <w:pPr>
        <w:ind w:left="291" w:right="288" w:firstLine="276"/>
        <w:jc w:val="both"/>
        <w:rPr>
          <w:rFonts w:cs="Arial"/>
          <w:szCs w:val="20"/>
        </w:rPr>
      </w:pPr>
      <w:r>
        <w:rPr>
          <w:rFonts w:cs="Arial"/>
          <w:szCs w:val="20"/>
        </w:rPr>
        <w:t>T</w:t>
      </w:r>
      <w:r w:rsidRPr="00E34610">
        <w:rPr>
          <w:rFonts w:cs="Arial"/>
          <w:szCs w:val="20"/>
        </w:rPr>
        <w:t xml:space="preserve">ransfusion de plaquettes maternelles chez un fœtus ou un nouveau-né en cas de thrombopénie allo-immune pour éliminer l’AC responsable du </w:t>
      </w:r>
      <w:proofErr w:type="gramStart"/>
      <w:r w:rsidRPr="00E34610">
        <w:rPr>
          <w:rFonts w:cs="Arial"/>
          <w:szCs w:val="20"/>
        </w:rPr>
        <w:t>conflit..</w:t>
      </w:r>
      <w:proofErr w:type="gramEnd"/>
    </w:p>
    <w:p w:rsidR="004501D1" w:rsidRDefault="004501D1" w:rsidP="004501D1">
      <w:pPr>
        <w:ind w:left="291" w:right="288" w:firstLine="276"/>
        <w:jc w:val="both"/>
        <w:rPr>
          <w:rFonts w:cs="Arial"/>
          <w:szCs w:val="20"/>
        </w:rPr>
      </w:pPr>
      <w:r w:rsidRPr="00E34610">
        <w:rPr>
          <w:rFonts w:cs="Arial"/>
          <w:szCs w:val="20"/>
        </w:rPr>
        <w:t>En cas d’impossibilité d’administrer un CP RH</w:t>
      </w:r>
      <w:proofErr w:type="gramStart"/>
      <w:r w:rsidRPr="00E34610">
        <w:rPr>
          <w:rFonts w:cs="Arial"/>
          <w:szCs w:val="20"/>
        </w:rPr>
        <w:t> :-</w:t>
      </w:r>
      <w:proofErr w:type="gramEnd"/>
      <w:r w:rsidRPr="00E34610">
        <w:rPr>
          <w:rFonts w:cs="Arial"/>
          <w:szCs w:val="20"/>
        </w:rPr>
        <w:t xml:space="preserve">1 à un enfant RH :-1, une prévention avec </w:t>
      </w:r>
      <w:proofErr w:type="spellStart"/>
      <w:r w:rsidRPr="00E34610">
        <w:rPr>
          <w:rFonts w:cs="Arial"/>
          <w:szCs w:val="20"/>
        </w:rPr>
        <w:t>Ig</w:t>
      </w:r>
      <w:proofErr w:type="spellEnd"/>
      <w:r w:rsidRPr="00E34610">
        <w:rPr>
          <w:rFonts w:cs="Arial"/>
          <w:szCs w:val="20"/>
        </w:rPr>
        <w:t xml:space="preserve"> anti-RH1 est proposée si le nouveau-né est de sexe féminin à une dose de ¼ à ½ ampoule de 200</w:t>
      </w:r>
      <w:r>
        <w:rPr>
          <w:rFonts w:cs="Arial"/>
          <w:szCs w:val="20"/>
        </w:rPr>
        <w:t xml:space="preserve"> </w:t>
      </w:r>
      <w:proofErr w:type="spellStart"/>
      <w:r w:rsidRPr="00E34610">
        <w:rPr>
          <w:rFonts w:cs="Arial"/>
          <w:szCs w:val="20"/>
        </w:rPr>
        <w:t>microg</w:t>
      </w:r>
      <w:proofErr w:type="spellEnd"/>
      <w:r w:rsidRPr="00E34610">
        <w:rPr>
          <w:rFonts w:cs="Arial"/>
          <w:szCs w:val="20"/>
        </w:rPr>
        <w:t>.</w:t>
      </w:r>
    </w:p>
    <w:p w:rsidR="004501D1" w:rsidRDefault="004501D1" w:rsidP="004501D1">
      <w:pPr>
        <w:ind w:firstLine="567"/>
        <w:rPr>
          <w:rFonts w:ascii="Arial" w:hAnsi="Arial" w:cs="Arial"/>
          <w:b/>
          <w:color w:val="FF0000"/>
          <w:sz w:val="24"/>
          <w:szCs w:val="20"/>
        </w:rPr>
      </w:pPr>
    </w:p>
    <w:p w:rsidR="004501D1" w:rsidRPr="00E34610" w:rsidRDefault="004501D1" w:rsidP="004501D1">
      <w:pPr>
        <w:tabs>
          <w:tab w:val="left" w:pos="3510"/>
          <w:tab w:val="left" w:leader="dot" w:pos="5400"/>
        </w:tabs>
        <w:jc w:val="both"/>
        <w:rPr>
          <w:rFonts w:cs="Arial"/>
          <w:b/>
          <w:i/>
          <w:color w:val="C00000"/>
          <w:szCs w:val="24"/>
          <w:u w:val="single"/>
        </w:rPr>
      </w:pPr>
      <w:r w:rsidRPr="00E34610">
        <w:rPr>
          <w:rFonts w:cs="Arial"/>
          <w:i/>
          <w:color w:val="C00000"/>
          <w:szCs w:val="24"/>
          <w:u w:val="single"/>
        </w:rPr>
        <w:t>Thrombopénie allo-immune :</w:t>
      </w:r>
    </w:p>
    <w:p w:rsidR="004501D1" w:rsidRPr="00E34610" w:rsidRDefault="004501D1" w:rsidP="004501D1">
      <w:pPr>
        <w:tabs>
          <w:tab w:val="left" w:pos="3510"/>
          <w:tab w:val="left" w:leader="dot" w:pos="5400"/>
        </w:tabs>
        <w:jc w:val="both"/>
        <w:rPr>
          <w:rFonts w:cs="Arial"/>
          <w:b/>
          <w:szCs w:val="24"/>
        </w:rPr>
      </w:pPr>
      <w:r w:rsidRPr="00E34610">
        <w:rPr>
          <w:rFonts w:cs="Arial"/>
          <w:szCs w:val="24"/>
        </w:rPr>
        <w:t>NP&lt;30G.L</w:t>
      </w:r>
      <w:r w:rsidRPr="00E34610">
        <w:rPr>
          <w:rFonts w:cs="Arial"/>
          <w:szCs w:val="24"/>
          <w:vertAlign w:val="superscript"/>
        </w:rPr>
        <w:t>-1 </w:t>
      </w:r>
      <w:r w:rsidRPr="00E34610">
        <w:rPr>
          <w:rFonts w:cs="Arial"/>
          <w:szCs w:val="24"/>
        </w:rPr>
        <w:t>:</w:t>
      </w:r>
    </w:p>
    <w:p w:rsidR="004501D1" w:rsidRPr="00E34610" w:rsidRDefault="004501D1" w:rsidP="004501D1">
      <w:pPr>
        <w:tabs>
          <w:tab w:val="left" w:pos="3510"/>
          <w:tab w:val="left" w:leader="dot" w:pos="5400"/>
        </w:tabs>
        <w:jc w:val="both"/>
        <w:rPr>
          <w:rFonts w:cs="Arial"/>
          <w:szCs w:val="24"/>
        </w:rPr>
      </w:pPr>
      <w:r w:rsidRPr="00E34610">
        <w:rPr>
          <w:rFonts w:cs="Arial"/>
          <w:szCs w:val="24"/>
        </w:rPr>
        <w:t>Transfusion</w:t>
      </w:r>
      <w:r w:rsidRPr="00E34610">
        <w:rPr>
          <w:rFonts w:cs="Arial"/>
          <w:szCs w:val="24"/>
          <w:vertAlign w:val="superscript"/>
        </w:rPr>
        <w:t xml:space="preserve"> </w:t>
      </w:r>
      <w:r w:rsidRPr="00E34610">
        <w:rPr>
          <w:rFonts w:cs="Arial"/>
          <w:szCs w:val="24"/>
        </w:rPr>
        <w:t>plaquettaire prophylactique de 0.2 x 10</w:t>
      </w:r>
      <w:r w:rsidRPr="00E34610">
        <w:rPr>
          <w:rFonts w:cs="Arial"/>
          <w:szCs w:val="24"/>
          <w:vertAlign w:val="superscript"/>
        </w:rPr>
        <w:t>11</w:t>
      </w:r>
      <w:r w:rsidRPr="00E34610">
        <w:rPr>
          <w:rFonts w:cs="Arial"/>
          <w:szCs w:val="24"/>
        </w:rPr>
        <w:t xml:space="preserve"> plaquettes/kg sans dépasser 20ml/kg d’un donneur compatible ou mère (</w:t>
      </w:r>
      <w:proofErr w:type="spellStart"/>
      <w:r w:rsidRPr="00E34610">
        <w:rPr>
          <w:rFonts w:cs="Arial"/>
          <w:szCs w:val="24"/>
        </w:rPr>
        <w:t>déplasmatiser</w:t>
      </w:r>
      <w:proofErr w:type="spellEnd"/>
      <w:r w:rsidRPr="00E34610">
        <w:rPr>
          <w:rFonts w:cs="Arial"/>
          <w:szCs w:val="24"/>
        </w:rPr>
        <w:t xml:space="preserve"> et irradier)</w:t>
      </w:r>
    </w:p>
    <w:p w:rsidR="004501D1" w:rsidRPr="00E34610" w:rsidRDefault="004501D1" w:rsidP="004501D1">
      <w:pPr>
        <w:tabs>
          <w:tab w:val="left" w:pos="3510"/>
          <w:tab w:val="left" w:leader="dot" w:pos="5400"/>
        </w:tabs>
        <w:jc w:val="both"/>
        <w:rPr>
          <w:rFonts w:cs="Arial"/>
          <w:szCs w:val="24"/>
        </w:rPr>
      </w:pPr>
      <w:r w:rsidRPr="00E34610">
        <w:rPr>
          <w:rFonts w:cs="Arial"/>
          <w:szCs w:val="24"/>
        </w:rPr>
        <w:t xml:space="preserve">Sinon, CP non </w:t>
      </w:r>
      <w:proofErr w:type="spellStart"/>
      <w:r w:rsidRPr="00E34610">
        <w:rPr>
          <w:rFonts w:cs="Arial"/>
          <w:szCs w:val="24"/>
        </w:rPr>
        <w:t>phénotypé</w:t>
      </w:r>
      <w:proofErr w:type="spellEnd"/>
      <w:r w:rsidRPr="00E34610">
        <w:rPr>
          <w:rFonts w:cs="Arial"/>
          <w:szCs w:val="24"/>
        </w:rPr>
        <w:t xml:space="preserve"> et </w:t>
      </w:r>
      <w:proofErr w:type="spellStart"/>
      <w:r w:rsidRPr="00E34610">
        <w:rPr>
          <w:rFonts w:cs="Arial"/>
          <w:szCs w:val="24"/>
        </w:rPr>
        <w:t>Ig</w:t>
      </w:r>
      <w:proofErr w:type="spellEnd"/>
      <w:r w:rsidRPr="00E34610">
        <w:rPr>
          <w:rFonts w:cs="Arial"/>
          <w:szCs w:val="24"/>
        </w:rPr>
        <w:t xml:space="preserve"> IV à dose unique 1g/kg</w:t>
      </w:r>
    </w:p>
    <w:p w:rsidR="004501D1" w:rsidRPr="00E34610" w:rsidRDefault="004501D1" w:rsidP="004501D1">
      <w:pPr>
        <w:tabs>
          <w:tab w:val="left" w:pos="3510"/>
          <w:tab w:val="left" w:leader="dot" w:pos="5400"/>
        </w:tabs>
        <w:jc w:val="both"/>
        <w:rPr>
          <w:rFonts w:cs="Arial"/>
          <w:szCs w:val="24"/>
        </w:rPr>
      </w:pPr>
      <w:r>
        <w:rPr>
          <w:rFonts w:cs="Arial"/>
          <w:szCs w:val="24"/>
        </w:rPr>
        <w:t>Nouvelle n</w:t>
      </w:r>
      <w:r w:rsidRPr="00E34610">
        <w:rPr>
          <w:rFonts w:cs="Arial"/>
          <w:szCs w:val="24"/>
        </w:rPr>
        <w:t>umération plaquettaire une heure après la transfusion</w:t>
      </w:r>
    </w:p>
    <w:p w:rsidR="004501D1" w:rsidRPr="00E34610" w:rsidRDefault="004501D1" w:rsidP="004501D1">
      <w:pPr>
        <w:tabs>
          <w:tab w:val="left" w:pos="3510"/>
          <w:tab w:val="left" w:leader="dot" w:pos="5400"/>
        </w:tabs>
        <w:jc w:val="both"/>
        <w:rPr>
          <w:rFonts w:cs="Arial"/>
          <w:szCs w:val="24"/>
        </w:rPr>
      </w:pPr>
      <w:r w:rsidRPr="00E34610">
        <w:rPr>
          <w:rFonts w:cs="Arial"/>
          <w:szCs w:val="24"/>
        </w:rPr>
        <w:t xml:space="preserve">Echo </w:t>
      </w:r>
      <w:proofErr w:type="spellStart"/>
      <w:r w:rsidRPr="00E34610">
        <w:rPr>
          <w:rFonts w:cs="Arial"/>
          <w:szCs w:val="24"/>
        </w:rPr>
        <w:t>transfontanellaire</w:t>
      </w:r>
      <w:proofErr w:type="spellEnd"/>
      <w:r w:rsidRPr="00E34610">
        <w:rPr>
          <w:rFonts w:cs="Arial"/>
          <w:szCs w:val="24"/>
        </w:rPr>
        <w:t xml:space="preserve"> et fond œil</w:t>
      </w:r>
    </w:p>
    <w:p w:rsidR="004501D1" w:rsidRPr="00E34610" w:rsidRDefault="004501D1" w:rsidP="004501D1">
      <w:pPr>
        <w:tabs>
          <w:tab w:val="left" w:pos="3510"/>
          <w:tab w:val="left" w:leader="dot" w:pos="5400"/>
        </w:tabs>
        <w:jc w:val="both"/>
        <w:rPr>
          <w:rFonts w:cs="Arial"/>
          <w:szCs w:val="24"/>
          <w:vertAlign w:val="superscript"/>
        </w:rPr>
      </w:pPr>
      <w:r w:rsidRPr="00E34610">
        <w:rPr>
          <w:rFonts w:cs="Arial"/>
          <w:szCs w:val="24"/>
        </w:rPr>
        <w:t>NP&gt;30G.L</w:t>
      </w:r>
      <w:r w:rsidRPr="00E34610">
        <w:rPr>
          <w:rFonts w:cs="Arial"/>
          <w:szCs w:val="24"/>
          <w:vertAlign w:val="superscript"/>
        </w:rPr>
        <w:t>-1 </w:t>
      </w:r>
      <w:r w:rsidRPr="00E34610">
        <w:rPr>
          <w:rFonts w:cs="Arial"/>
          <w:szCs w:val="24"/>
        </w:rPr>
        <w:t>: pas de transfusion mais surveillance jusqu’à NP 100 G.L</w:t>
      </w:r>
      <w:r w:rsidRPr="00E34610">
        <w:rPr>
          <w:rFonts w:cs="Arial"/>
          <w:szCs w:val="24"/>
          <w:vertAlign w:val="superscript"/>
        </w:rPr>
        <w:t>-1 </w:t>
      </w:r>
    </w:p>
    <w:p w:rsidR="004501D1" w:rsidRPr="00E34610" w:rsidRDefault="004501D1" w:rsidP="004501D1">
      <w:pPr>
        <w:tabs>
          <w:tab w:val="left" w:pos="3510"/>
          <w:tab w:val="left" w:leader="dot" w:pos="5400"/>
        </w:tabs>
        <w:jc w:val="both"/>
        <w:rPr>
          <w:rFonts w:cs="Arial"/>
          <w:szCs w:val="24"/>
          <w:vertAlign w:val="superscript"/>
        </w:rPr>
      </w:pPr>
    </w:p>
    <w:p w:rsidR="004501D1" w:rsidRPr="00E34610" w:rsidRDefault="004501D1" w:rsidP="004501D1">
      <w:pPr>
        <w:tabs>
          <w:tab w:val="left" w:pos="3510"/>
          <w:tab w:val="left" w:leader="dot" w:pos="5400"/>
        </w:tabs>
        <w:jc w:val="both"/>
        <w:rPr>
          <w:rFonts w:cs="Arial"/>
          <w:b/>
          <w:i/>
          <w:color w:val="C00000"/>
          <w:szCs w:val="24"/>
          <w:u w:val="single"/>
        </w:rPr>
      </w:pPr>
      <w:r w:rsidRPr="00E34610">
        <w:rPr>
          <w:rFonts w:cs="Arial"/>
          <w:i/>
          <w:color w:val="C00000"/>
          <w:szCs w:val="24"/>
          <w:u w:val="single"/>
        </w:rPr>
        <w:t xml:space="preserve">Thrombopénie </w:t>
      </w:r>
      <w:proofErr w:type="spellStart"/>
      <w:r w:rsidRPr="00E34610">
        <w:rPr>
          <w:rFonts w:cs="Arial"/>
          <w:i/>
          <w:color w:val="C00000"/>
          <w:szCs w:val="24"/>
          <w:u w:val="single"/>
        </w:rPr>
        <w:t>autoimmune</w:t>
      </w:r>
      <w:proofErr w:type="spellEnd"/>
      <w:r w:rsidRPr="00E34610">
        <w:rPr>
          <w:rFonts w:cs="Arial"/>
          <w:i/>
          <w:color w:val="C00000"/>
          <w:szCs w:val="24"/>
          <w:u w:val="single"/>
        </w:rPr>
        <w:t> :</w:t>
      </w:r>
    </w:p>
    <w:p w:rsidR="004501D1" w:rsidRPr="00E34610" w:rsidRDefault="004501D1" w:rsidP="004501D1">
      <w:pPr>
        <w:pStyle w:val="Paragraphedeliste"/>
        <w:numPr>
          <w:ilvl w:val="0"/>
          <w:numId w:val="10"/>
        </w:numPr>
        <w:tabs>
          <w:tab w:val="left" w:pos="3510"/>
          <w:tab w:val="left" w:leader="dot" w:pos="5400"/>
        </w:tabs>
        <w:jc w:val="both"/>
        <w:rPr>
          <w:rFonts w:cs="Arial"/>
          <w:szCs w:val="24"/>
        </w:rPr>
      </w:pPr>
      <w:r w:rsidRPr="00E34610">
        <w:rPr>
          <w:rFonts w:cs="Arial"/>
          <w:szCs w:val="24"/>
        </w:rPr>
        <w:t>Il est recommandé d’effectuer :</w:t>
      </w:r>
    </w:p>
    <w:p w:rsidR="004501D1" w:rsidRPr="00E34610" w:rsidRDefault="004501D1" w:rsidP="004501D1">
      <w:pPr>
        <w:tabs>
          <w:tab w:val="left" w:pos="3510"/>
          <w:tab w:val="left" w:leader="dot" w:pos="5400"/>
        </w:tabs>
        <w:jc w:val="both"/>
        <w:rPr>
          <w:rFonts w:cs="Arial"/>
          <w:szCs w:val="24"/>
        </w:rPr>
      </w:pPr>
      <w:r w:rsidRPr="00E34610">
        <w:rPr>
          <w:rFonts w:cs="Arial"/>
          <w:szCs w:val="24"/>
        </w:rPr>
        <w:t>Contrôle de la numération plaquettaire de l’enfant dès la naissance et dans les 5 jours suivants systématiquement du fait du risque d’aggravation possible de la thrombopénie.</w:t>
      </w:r>
    </w:p>
    <w:p w:rsidR="004501D1" w:rsidRPr="00E34610" w:rsidRDefault="004501D1" w:rsidP="004501D1">
      <w:pPr>
        <w:tabs>
          <w:tab w:val="left" w:pos="3510"/>
          <w:tab w:val="left" w:leader="dot" w:pos="5400"/>
        </w:tabs>
        <w:jc w:val="both"/>
        <w:rPr>
          <w:rFonts w:cs="Arial"/>
          <w:szCs w:val="24"/>
        </w:rPr>
      </w:pPr>
      <w:r w:rsidRPr="00E34610">
        <w:rPr>
          <w:rFonts w:cs="Arial"/>
          <w:szCs w:val="24"/>
        </w:rPr>
        <w:t xml:space="preserve">Echographie </w:t>
      </w:r>
      <w:proofErr w:type="spellStart"/>
      <w:r w:rsidRPr="00E34610">
        <w:rPr>
          <w:rFonts w:cs="Arial"/>
          <w:szCs w:val="24"/>
        </w:rPr>
        <w:t>transfontanellaire</w:t>
      </w:r>
      <w:proofErr w:type="spellEnd"/>
      <w:r w:rsidRPr="00E34610">
        <w:rPr>
          <w:rFonts w:cs="Arial"/>
          <w:szCs w:val="24"/>
        </w:rPr>
        <w:t xml:space="preserve"> si le chiffre est &lt; 50x10 </w:t>
      </w:r>
      <w:r w:rsidRPr="00E34610">
        <w:rPr>
          <w:rFonts w:cs="Arial"/>
          <w:szCs w:val="24"/>
          <w:vertAlign w:val="superscript"/>
        </w:rPr>
        <w:t>9</w:t>
      </w:r>
      <w:r w:rsidRPr="00E34610">
        <w:rPr>
          <w:rFonts w:cs="Arial"/>
          <w:szCs w:val="24"/>
        </w:rPr>
        <w:t xml:space="preserve"> /L</w:t>
      </w:r>
    </w:p>
    <w:p w:rsidR="004501D1" w:rsidRPr="00E34610" w:rsidRDefault="004501D1" w:rsidP="004501D1">
      <w:pPr>
        <w:tabs>
          <w:tab w:val="left" w:pos="3510"/>
          <w:tab w:val="left" w:leader="dot" w:pos="5400"/>
        </w:tabs>
        <w:jc w:val="both"/>
        <w:rPr>
          <w:rFonts w:cs="Arial"/>
          <w:szCs w:val="24"/>
        </w:rPr>
      </w:pPr>
      <w:r w:rsidRPr="00E34610">
        <w:rPr>
          <w:rFonts w:cs="Arial"/>
          <w:szCs w:val="24"/>
        </w:rPr>
        <w:t>Si numération plaquettaire &lt;20x10</w:t>
      </w:r>
      <w:r w:rsidRPr="00E34610">
        <w:rPr>
          <w:rFonts w:cs="Arial"/>
          <w:szCs w:val="24"/>
          <w:vertAlign w:val="superscript"/>
        </w:rPr>
        <w:t>9</w:t>
      </w:r>
      <w:r w:rsidRPr="00E34610">
        <w:rPr>
          <w:rFonts w:cs="Arial"/>
          <w:szCs w:val="24"/>
        </w:rPr>
        <w:t xml:space="preserve">/L : transfusion associée à un traitement par </w:t>
      </w:r>
      <w:proofErr w:type="spellStart"/>
      <w:r w:rsidRPr="00E34610">
        <w:rPr>
          <w:rFonts w:cs="Arial"/>
          <w:szCs w:val="24"/>
        </w:rPr>
        <w:t>IgIV</w:t>
      </w:r>
      <w:proofErr w:type="spellEnd"/>
      <w:r w:rsidRPr="00E34610">
        <w:rPr>
          <w:rFonts w:cs="Arial"/>
          <w:szCs w:val="24"/>
        </w:rPr>
        <w:t xml:space="preserve"> 1g/kg.</w:t>
      </w:r>
    </w:p>
    <w:p w:rsidR="004501D1" w:rsidRDefault="004501D1" w:rsidP="004501D1">
      <w:pPr>
        <w:rPr>
          <w:sz w:val="18"/>
        </w:rPr>
      </w:pPr>
    </w:p>
    <w:p w:rsidR="004501D1" w:rsidRDefault="004501D1" w:rsidP="004501D1">
      <w:pPr>
        <w:pStyle w:val="Paragraphedeliste"/>
        <w:numPr>
          <w:ilvl w:val="0"/>
          <w:numId w:val="13"/>
        </w:numPr>
        <w:rPr>
          <w:color w:val="0070C0"/>
          <w:sz w:val="28"/>
          <w:u w:val="single"/>
        </w:rPr>
      </w:pPr>
      <w:r w:rsidRPr="00E34610">
        <w:rPr>
          <w:color w:val="0070C0"/>
          <w:sz w:val="28"/>
          <w:u w:val="single"/>
        </w:rPr>
        <w:t>Transfusion de plasma :</w:t>
      </w:r>
    </w:p>
    <w:p w:rsidR="004501D1" w:rsidRPr="00E34610" w:rsidRDefault="004501D1" w:rsidP="004501D1">
      <w:pPr>
        <w:pStyle w:val="Paragraphedeliste"/>
        <w:rPr>
          <w:color w:val="0070C0"/>
          <w:sz w:val="28"/>
          <w:u w:val="single"/>
        </w:rPr>
      </w:pPr>
    </w:p>
    <w:p w:rsidR="004501D1" w:rsidRPr="00E34610" w:rsidRDefault="004501D1" w:rsidP="004501D1">
      <w:pPr>
        <w:tabs>
          <w:tab w:val="left" w:pos="10497"/>
        </w:tabs>
        <w:ind w:left="291" w:right="288" w:firstLine="276"/>
        <w:jc w:val="both"/>
        <w:rPr>
          <w:rFonts w:cs="Arial"/>
          <w:szCs w:val="20"/>
        </w:rPr>
      </w:pPr>
      <w:r w:rsidRPr="00E34610">
        <w:rPr>
          <w:rFonts w:cs="Arial"/>
          <w:szCs w:val="20"/>
        </w:rPr>
        <w:t>Ce sont les mêmes indications que chez l’adulte notamment en cas d’association d’une hémorragie aigüe ou d’un geste à risque hémorragique et d’une anomalie profonde de l’hémostase (fibrinogène&lt;1g/dl, plaquettes &lt;50000/mm3, TP&lt;40 % et TCA compris entre 1,5 et 1,8 fois le témoin).</w:t>
      </w:r>
    </w:p>
    <w:p w:rsidR="004501D1" w:rsidRPr="00E34610" w:rsidRDefault="004501D1" w:rsidP="004501D1">
      <w:pPr>
        <w:tabs>
          <w:tab w:val="left" w:pos="10497"/>
        </w:tabs>
        <w:ind w:left="291" w:right="288" w:firstLine="276"/>
        <w:jc w:val="both"/>
        <w:rPr>
          <w:rFonts w:cs="Arial"/>
          <w:szCs w:val="20"/>
        </w:rPr>
      </w:pPr>
      <w:r w:rsidRPr="00E34610">
        <w:rPr>
          <w:rFonts w:cs="Arial"/>
          <w:szCs w:val="20"/>
        </w:rPr>
        <w:t>Mêmes indications que l’adulte pour la qualification du plasma VHE négatif.</w:t>
      </w:r>
    </w:p>
    <w:p w:rsidR="004501D1" w:rsidRPr="00E34610" w:rsidRDefault="004501D1" w:rsidP="004501D1">
      <w:pPr>
        <w:tabs>
          <w:tab w:val="left" w:pos="10497"/>
        </w:tabs>
        <w:ind w:left="291" w:right="288" w:firstLine="276"/>
        <w:jc w:val="both"/>
        <w:rPr>
          <w:rFonts w:cs="Arial"/>
          <w:b/>
          <w:color w:val="FF0000"/>
          <w:szCs w:val="20"/>
        </w:rPr>
      </w:pPr>
      <w:r w:rsidRPr="00E34610">
        <w:rPr>
          <w:rFonts w:cs="Arial"/>
          <w:color w:val="FF0000"/>
          <w:szCs w:val="20"/>
        </w:rPr>
        <w:t>La dose est de 10 à 20ml/kg par voie intraveineuse sur 1 à 3 heures</w:t>
      </w:r>
    </w:p>
    <w:p w:rsidR="004501D1" w:rsidRPr="00E34610" w:rsidRDefault="004501D1" w:rsidP="004501D1">
      <w:pPr>
        <w:tabs>
          <w:tab w:val="left" w:pos="10497"/>
        </w:tabs>
        <w:ind w:left="291" w:right="288" w:firstLine="276"/>
        <w:jc w:val="both"/>
        <w:rPr>
          <w:rFonts w:cs="Arial"/>
          <w:b/>
          <w:color w:val="FF0000"/>
          <w:szCs w:val="20"/>
        </w:rPr>
      </w:pPr>
      <w:r w:rsidRPr="00E34610">
        <w:rPr>
          <w:rFonts w:cs="Arial"/>
          <w:color w:val="FF0000"/>
          <w:szCs w:val="20"/>
        </w:rPr>
        <w:t>Plasma AB en UVI et si une seule détermination groupe ABO RHKEL1</w:t>
      </w:r>
    </w:p>
    <w:p w:rsidR="004501D1" w:rsidRPr="00E34610" w:rsidRDefault="004501D1" w:rsidP="004501D1">
      <w:pPr>
        <w:rPr>
          <w:sz w:val="18"/>
        </w:rPr>
      </w:pPr>
      <w:r>
        <w:rPr>
          <w:rFonts w:cs="Arial"/>
          <w:color w:val="FF0000"/>
          <w:szCs w:val="20"/>
        </w:rPr>
        <w:t xml:space="preserve">           </w:t>
      </w:r>
      <w:r w:rsidRPr="00E34610">
        <w:rPr>
          <w:rFonts w:cs="Arial"/>
          <w:color w:val="FF0000"/>
          <w:szCs w:val="20"/>
        </w:rPr>
        <w:t>Plasma iso groupe ou compatible si 2 déterminations ABO RHKEL1.</w:t>
      </w:r>
    </w:p>
    <w:p w:rsidR="004501D1" w:rsidRDefault="004501D1"/>
    <w:sectPr w:rsidR="004501D1" w:rsidSect="00E01806">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3F" w:rsidRDefault="0029033F" w:rsidP="00CE47D1">
      <w:pPr>
        <w:spacing w:after="0" w:line="240" w:lineRule="auto"/>
      </w:pPr>
      <w:r>
        <w:separator/>
      </w:r>
    </w:p>
  </w:endnote>
  <w:endnote w:type="continuationSeparator" w:id="0">
    <w:p w:rsidR="0029033F" w:rsidRDefault="0029033F"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Pr="00F3500B" w:rsidRDefault="002A07E7" w:rsidP="00554F14">
    <w:pPr>
      <w:pStyle w:val="Pieddepage"/>
      <w:rPr>
        <w:rFonts w:ascii="Arial" w:hAnsi="Arial" w:cs="Arial"/>
        <w:color w:val="000080"/>
        <w:sz w:val="14"/>
        <w:szCs w:val="16"/>
      </w:rPr>
    </w:pPr>
    <w:r>
      <w:rPr>
        <w:rFonts w:ascii="Arial" w:hAnsi="Arial" w:cs="Arial"/>
        <w:i/>
        <w:color w:val="000080"/>
        <w:sz w:val="12"/>
        <w:szCs w:val="16"/>
      </w:rPr>
      <w:t>HV</w:t>
    </w:r>
    <w:r w:rsidR="00F3500B" w:rsidRPr="00F3500B">
      <w:rPr>
        <w:rFonts w:ascii="Arial" w:hAnsi="Arial" w:cs="Arial"/>
        <w:i/>
        <w:color w:val="000080"/>
        <w:sz w:val="12"/>
        <w:szCs w:val="16"/>
      </w:rPr>
      <w:t>CVL/E</w:t>
    </w:r>
    <w:r w:rsidR="007C1499">
      <w:rPr>
        <w:rFonts w:ascii="Arial" w:hAnsi="Arial" w:cs="Arial"/>
        <w:i/>
        <w:color w:val="000080"/>
        <w:sz w:val="12"/>
        <w:szCs w:val="16"/>
      </w:rPr>
      <w:t>S/</w:t>
    </w:r>
    <w:r w:rsidR="00472014">
      <w:rPr>
        <w:rFonts w:ascii="Arial" w:hAnsi="Arial" w:cs="Arial"/>
        <w:i/>
        <w:color w:val="000080"/>
        <w:sz w:val="12"/>
        <w:szCs w:val="16"/>
      </w:rPr>
      <w:t>TRANSFUSION/</w:t>
    </w:r>
    <w:r w:rsidR="007C1499">
      <w:rPr>
        <w:rFonts w:ascii="Arial" w:hAnsi="Arial" w:cs="Arial"/>
        <w:i/>
        <w:color w:val="000080"/>
        <w:sz w:val="12"/>
        <w:szCs w:val="16"/>
      </w:rPr>
      <w:t>PSL-NEONATALE</w:t>
    </w:r>
  </w:p>
  <w:p w:rsidR="00E77183" w:rsidRDefault="00E77183" w:rsidP="00E77183">
    <w:pPr>
      <w:pStyle w:val="Pieddepag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3F" w:rsidRDefault="0029033F" w:rsidP="00CE47D1">
      <w:pPr>
        <w:spacing w:after="0" w:line="240" w:lineRule="auto"/>
      </w:pPr>
      <w:r>
        <w:separator/>
      </w:r>
    </w:p>
  </w:footnote>
  <w:footnote w:type="continuationSeparator" w:id="0">
    <w:p w:rsidR="0029033F" w:rsidRDefault="0029033F"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72AE7"/>
    <w:multiLevelType w:val="hybridMultilevel"/>
    <w:tmpl w:val="83CE18FA"/>
    <w:lvl w:ilvl="0" w:tplc="9ED271E2">
      <w:start w:val="4"/>
      <w:numFmt w:val="bullet"/>
      <w:lvlText w:val="-"/>
      <w:lvlJc w:val="left"/>
      <w:pPr>
        <w:ind w:left="720" w:hanging="360"/>
      </w:pPr>
      <w:rPr>
        <w:rFonts w:ascii="Calibri" w:eastAsiaTheme="minorEastAsia" w:hAnsi="Calibri" w:cstheme="minorBidi"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B5F64C3C">
      <w:start w:val="1"/>
      <w:numFmt w:val="bullet"/>
      <w:lvlText w:val=""/>
      <w:lvlJc w:val="left"/>
      <w:pPr>
        <w:ind w:left="2160" w:hanging="360"/>
      </w:pPr>
      <w:rPr>
        <w:rFonts w:ascii="Wingdings" w:hAnsi="Wingdings"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92D594B"/>
    <w:multiLevelType w:val="hybridMultilevel"/>
    <w:tmpl w:val="488CA9FE"/>
    <w:lvl w:ilvl="0" w:tplc="F42AA7EC">
      <w:numFmt w:val="bullet"/>
      <w:lvlText w:val=""/>
      <w:lvlJc w:val="left"/>
      <w:pPr>
        <w:ind w:left="720" w:hanging="360"/>
      </w:pPr>
      <w:rPr>
        <w:rFonts w:ascii="Wingdings" w:eastAsia="Times New Roman" w:hAnsi="Wingdings" w:cs="Times New Roman" w:hint="default"/>
        <w:b w:val="0"/>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15:restartNumberingAfterBreak="0">
    <w:nsid w:val="2FA17BB0"/>
    <w:multiLevelType w:val="hybridMultilevel"/>
    <w:tmpl w:val="A0463ED4"/>
    <w:lvl w:ilvl="0" w:tplc="040C0001">
      <w:start w:val="1"/>
      <w:numFmt w:val="bullet"/>
      <w:lvlText w:val=""/>
      <w:lvlJc w:val="left"/>
      <w:pPr>
        <w:ind w:left="3167" w:hanging="360"/>
      </w:pPr>
      <w:rPr>
        <w:rFonts w:ascii="Symbol" w:hAnsi="Symbol" w:hint="default"/>
      </w:rPr>
    </w:lvl>
    <w:lvl w:ilvl="1" w:tplc="040C0003">
      <w:start w:val="1"/>
      <w:numFmt w:val="bullet"/>
      <w:lvlText w:val="o"/>
      <w:lvlJc w:val="left"/>
      <w:pPr>
        <w:ind w:left="3887" w:hanging="360"/>
      </w:pPr>
      <w:rPr>
        <w:rFonts w:ascii="Courier New" w:hAnsi="Courier New" w:cs="Courier New" w:hint="default"/>
      </w:rPr>
    </w:lvl>
    <w:lvl w:ilvl="2" w:tplc="040C0005">
      <w:start w:val="1"/>
      <w:numFmt w:val="bullet"/>
      <w:lvlText w:val=""/>
      <w:lvlJc w:val="left"/>
      <w:pPr>
        <w:ind w:left="4607" w:hanging="360"/>
      </w:pPr>
      <w:rPr>
        <w:rFonts w:ascii="Wingdings" w:hAnsi="Wingdings" w:hint="default"/>
      </w:rPr>
    </w:lvl>
    <w:lvl w:ilvl="3" w:tplc="040C0001">
      <w:start w:val="1"/>
      <w:numFmt w:val="bullet"/>
      <w:lvlText w:val=""/>
      <w:lvlJc w:val="left"/>
      <w:pPr>
        <w:ind w:left="5327" w:hanging="360"/>
      </w:pPr>
      <w:rPr>
        <w:rFonts w:ascii="Symbol" w:hAnsi="Symbol" w:hint="default"/>
      </w:rPr>
    </w:lvl>
    <w:lvl w:ilvl="4" w:tplc="040C0003">
      <w:start w:val="1"/>
      <w:numFmt w:val="bullet"/>
      <w:lvlText w:val="o"/>
      <w:lvlJc w:val="left"/>
      <w:pPr>
        <w:ind w:left="6047" w:hanging="360"/>
      </w:pPr>
      <w:rPr>
        <w:rFonts w:ascii="Courier New" w:hAnsi="Courier New" w:cs="Courier New" w:hint="default"/>
      </w:rPr>
    </w:lvl>
    <w:lvl w:ilvl="5" w:tplc="040C0005">
      <w:start w:val="1"/>
      <w:numFmt w:val="bullet"/>
      <w:lvlText w:val=""/>
      <w:lvlJc w:val="left"/>
      <w:pPr>
        <w:ind w:left="6767" w:hanging="360"/>
      </w:pPr>
      <w:rPr>
        <w:rFonts w:ascii="Wingdings" w:hAnsi="Wingdings" w:hint="default"/>
      </w:rPr>
    </w:lvl>
    <w:lvl w:ilvl="6" w:tplc="040C0001">
      <w:start w:val="1"/>
      <w:numFmt w:val="bullet"/>
      <w:lvlText w:val=""/>
      <w:lvlJc w:val="left"/>
      <w:pPr>
        <w:ind w:left="7487" w:hanging="360"/>
      </w:pPr>
      <w:rPr>
        <w:rFonts w:ascii="Symbol" w:hAnsi="Symbol" w:hint="default"/>
      </w:rPr>
    </w:lvl>
    <w:lvl w:ilvl="7" w:tplc="040C0003">
      <w:start w:val="1"/>
      <w:numFmt w:val="bullet"/>
      <w:lvlText w:val="o"/>
      <w:lvlJc w:val="left"/>
      <w:pPr>
        <w:ind w:left="8207" w:hanging="360"/>
      </w:pPr>
      <w:rPr>
        <w:rFonts w:ascii="Courier New" w:hAnsi="Courier New" w:cs="Courier New" w:hint="default"/>
      </w:rPr>
    </w:lvl>
    <w:lvl w:ilvl="8" w:tplc="040C0005">
      <w:start w:val="1"/>
      <w:numFmt w:val="bullet"/>
      <w:lvlText w:val=""/>
      <w:lvlJc w:val="left"/>
      <w:pPr>
        <w:ind w:left="8927" w:hanging="360"/>
      </w:pPr>
      <w:rPr>
        <w:rFonts w:ascii="Wingdings" w:hAnsi="Wingdings" w:hint="default"/>
      </w:rPr>
    </w:lvl>
  </w:abstractNum>
  <w:abstractNum w:abstractNumId="6"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E72EB0"/>
    <w:multiLevelType w:val="hybridMultilevel"/>
    <w:tmpl w:val="DE4EE8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7A7274C"/>
    <w:multiLevelType w:val="hybridMultilevel"/>
    <w:tmpl w:val="04BC0534"/>
    <w:lvl w:ilvl="0" w:tplc="DED4F844">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7F92747"/>
    <w:multiLevelType w:val="hybridMultilevel"/>
    <w:tmpl w:val="BA886850"/>
    <w:lvl w:ilvl="0" w:tplc="7F3EED3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10"/>
  </w:num>
  <w:num w:numId="5">
    <w:abstractNumId w:val="12"/>
  </w:num>
  <w:num w:numId="6">
    <w:abstractNumId w:val="2"/>
  </w:num>
  <w:num w:numId="7">
    <w:abstractNumId w:val="6"/>
  </w:num>
  <w:num w:numId="8">
    <w:abstractNumId w:val="4"/>
  </w:num>
  <w:num w:numId="9">
    <w:abstractNumId w:val="11"/>
  </w:num>
  <w:num w:numId="10">
    <w:abstractNumId w:val="1"/>
  </w:num>
  <w:num w:numId="11">
    <w:abstractNumId w:val="7"/>
  </w:num>
  <w:num w:numId="12">
    <w:abstractNumId w:val="8"/>
  </w:num>
  <w:num w:numId="13">
    <w:abstractNumId w:val="3"/>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14394F"/>
    <w:rsid w:val="00186CD5"/>
    <w:rsid w:val="001F6AB9"/>
    <w:rsid w:val="0025104A"/>
    <w:rsid w:val="00273F0A"/>
    <w:rsid w:val="00281E9B"/>
    <w:rsid w:val="0029033F"/>
    <w:rsid w:val="002A07E7"/>
    <w:rsid w:val="0033287C"/>
    <w:rsid w:val="0034566B"/>
    <w:rsid w:val="004501D1"/>
    <w:rsid w:val="00470594"/>
    <w:rsid w:val="00472014"/>
    <w:rsid w:val="00526625"/>
    <w:rsid w:val="00554F14"/>
    <w:rsid w:val="005B050B"/>
    <w:rsid w:val="0061450D"/>
    <w:rsid w:val="006754D0"/>
    <w:rsid w:val="00734F1B"/>
    <w:rsid w:val="007C1278"/>
    <w:rsid w:val="007C1499"/>
    <w:rsid w:val="008F0DC7"/>
    <w:rsid w:val="00936547"/>
    <w:rsid w:val="009D7AD3"/>
    <w:rsid w:val="009E7C8D"/>
    <w:rsid w:val="00A80F10"/>
    <w:rsid w:val="00B432ED"/>
    <w:rsid w:val="00B7265B"/>
    <w:rsid w:val="00BC63D7"/>
    <w:rsid w:val="00C331EA"/>
    <w:rsid w:val="00C379AA"/>
    <w:rsid w:val="00C80EFE"/>
    <w:rsid w:val="00CE47D1"/>
    <w:rsid w:val="00D34273"/>
    <w:rsid w:val="00D806C2"/>
    <w:rsid w:val="00DC36D8"/>
    <w:rsid w:val="00E01806"/>
    <w:rsid w:val="00E2356D"/>
    <w:rsid w:val="00E365BE"/>
    <w:rsid w:val="00E71160"/>
    <w:rsid w:val="00E77183"/>
    <w:rsid w:val="00F3500B"/>
    <w:rsid w:val="00FA1A42"/>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5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8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as-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6</Pages>
  <Words>1187</Words>
  <Characters>6529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27</cp:revision>
  <dcterms:created xsi:type="dcterms:W3CDTF">2020-10-16T12:52:00Z</dcterms:created>
  <dcterms:modified xsi:type="dcterms:W3CDTF">2022-01-17T08:04:00Z</dcterms:modified>
</cp:coreProperties>
</file>