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460538" w:rsidP="00E77183">
            <w:r>
              <w:rPr>
                <w:sz w:val="24"/>
              </w:rPr>
              <w:t>HVCVL/ES/TRANSFUSION/PERSONNE-AGEE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2A623E">
            <w:pPr>
              <w:rPr>
                <w:sz w:val="18"/>
              </w:rPr>
            </w:pPr>
            <w:r w:rsidRPr="00B432ED">
              <w:rPr>
                <w:sz w:val="18"/>
              </w:rPr>
              <w:t xml:space="preserve">Date de diffusion : </w:t>
            </w:r>
            <w:r w:rsidR="002A623E">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252CC6">
            <w:pPr>
              <w:rPr>
                <w:sz w:val="18"/>
              </w:rPr>
            </w:pPr>
            <w:r w:rsidRPr="00B432ED">
              <w:rPr>
                <w:sz w:val="18"/>
              </w:rPr>
              <w:t xml:space="preserve">Version : </w:t>
            </w:r>
            <w:r w:rsidR="00252CC6" w:rsidRPr="002A623E">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107890</wp:posOffset>
                </wp:positionV>
                <wp:extent cx="5745167" cy="319177"/>
                <wp:effectExtent l="0" t="0" r="27305" b="24130"/>
                <wp:wrapNone/>
                <wp:docPr id="3" name="Rectangle 3"/>
                <wp:cNvGraphicFramePr/>
                <a:graphic xmlns:a="http://schemas.openxmlformats.org/drawingml/2006/main">
                  <a:graphicData uri="http://schemas.microsoft.com/office/word/2010/wordprocessingShape">
                    <wps:wsp>
                      <wps:cNvSpPr/>
                      <wps:spPr>
                        <a:xfrm>
                          <a:off x="0" y="0"/>
                          <a:ext cx="5745167" cy="3191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460538" w:rsidP="00FC530B">
                            <w:pPr>
                              <w:rPr>
                                <w:b/>
                                <w:sz w:val="28"/>
                              </w:rPr>
                            </w:pPr>
                            <w:r>
                              <w:rPr>
                                <w:b/>
                                <w:sz w:val="28"/>
                              </w:rPr>
                              <w:t>Transfusion personne âgée &gt;70 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5pt;width:452.4pt;height:25.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" fillcolor="#5b9bd5 [3204]" strokecolor="#1f4d78 [1604]" strokeweight="1pt">
                <v:textbox>
                  <w:txbxContent>
                    <w:p w:rsidR="00FC530B" w:rsidRPr="00FC530B" w:rsidRDefault="00460538" w:rsidP="00FC530B">
                      <w:pPr>
                        <w:rPr>
                          <w:b/>
                          <w:sz w:val="28"/>
                        </w:rPr>
                      </w:pPr>
                      <w:r>
                        <w:rPr>
                          <w:b/>
                          <w:sz w:val="28"/>
                        </w:rPr>
                        <w:t>Transfusion personne âgée &gt;70 ans</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460538" w:rsidRPr="00460538" w:rsidRDefault="00460538" w:rsidP="00460538">
      <w:r w:rsidRPr="00460538">
        <w:t>Description de la prise en charge spécifique de la transfusion chez la personne âgée.</w:t>
      </w:r>
      <w:r w:rsidR="003E1BD2">
        <w:t xml:space="preserve"> </w:t>
      </w:r>
    </w:p>
    <w:p w:rsidR="00E77183" w:rsidRDefault="00E77183"/>
    <w:p w:rsidR="0061450D" w:rsidRDefault="0061450D"/>
    <w:p w:rsidR="0061450D" w:rsidRDefault="0061450D"/>
    <w:p w:rsidR="00E77183" w:rsidRDefault="00E77183">
      <w:r w:rsidRPr="00E77183">
        <w:rPr>
          <w:b/>
          <w:i/>
          <w:u w:val="single"/>
        </w:rPr>
        <w:t>Textes de références</w:t>
      </w:r>
      <w:r>
        <w:t> :</w:t>
      </w:r>
    </w:p>
    <w:p w:rsidR="00460538" w:rsidRPr="00460538" w:rsidRDefault="00460538" w:rsidP="00460538">
      <w:pPr>
        <w:pStyle w:val="Paragraphedeliste"/>
        <w:numPr>
          <w:ilvl w:val="0"/>
          <w:numId w:val="11"/>
        </w:numPr>
        <w:spacing w:after="0" w:line="240" w:lineRule="auto"/>
        <w:ind w:left="709"/>
      </w:pPr>
      <w:r>
        <w:rPr>
          <w:rFonts w:cs="Arial"/>
        </w:rPr>
        <w:t>r</w:t>
      </w:r>
      <w:r w:rsidRPr="00460538">
        <w:rPr>
          <w:rFonts w:cs="Arial"/>
        </w:rPr>
        <w:t xml:space="preserve">ecommandation HAS /ANSM sur la transfusion des CGR </w:t>
      </w:r>
      <w:hyperlink r:id="rId7" w:history="1">
        <w:r w:rsidRPr="00460538">
          <w:rPr>
            <w:rFonts w:cs="Arial"/>
            <w:i/>
            <w:iCs/>
            <w:color w:val="0563C1" w:themeColor="hyperlink"/>
            <w:u w:val="single"/>
          </w:rPr>
          <w:t>https://www.has-sante.fr/</w:t>
        </w:r>
      </w:hyperlink>
    </w:p>
    <w:p w:rsidR="00460538" w:rsidRPr="00DD3570" w:rsidRDefault="002A623E" w:rsidP="002A623E">
      <w:pPr>
        <w:pStyle w:val="Paragraphedeliste"/>
        <w:numPr>
          <w:ilvl w:val="0"/>
          <w:numId w:val="20"/>
        </w:numPr>
        <w:spacing w:after="0" w:line="240" w:lineRule="auto"/>
        <w:ind w:left="709"/>
        <w:rPr>
          <w:sz w:val="24"/>
        </w:rPr>
      </w:pPr>
      <w:r w:rsidRPr="00DD3570">
        <w:rPr>
          <w:rFonts w:eastAsia="Times New Roman" w:cs="Arial"/>
          <w:szCs w:val="24"/>
          <w:lang w:eastAsia="fr-FR"/>
        </w:rPr>
        <w:t>Instruction N° DGS/PP4/DGOS/PF2/2021/230 du 16 novembre 2021 concernant la réalisation de l’acte transfusionnel</w:t>
      </w:r>
    </w:p>
    <w:p w:rsidR="00460538" w:rsidRPr="00460538" w:rsidRDefault="00460538" w:rsidP="00460538">
      <w:pPr>
        <w:pStyle w:val="Paragraphedeliste"/>
        <w:numPr>
          <w:ilvl w:val="0"/>
          <w:numId w:val="11"/>
        </w:numPr>
        <w:spacing w:after="0" w:line="276" w:lineRule="auto"/>
        <w:ind w:left="709"/>
        <w:rPr>
          <w:rFonts w:cs="Arial"/>
          <w:b/>
        </w:rPr>
      </w:pPr>
      <w:proofErr w:type="gramStart"/>
      <w:r>
        <w:rPr>
          <w:rFonts w:eastAsia="Times New Roman" w:cs="Arial"/>
          <w:lang w:eastAsia="fr-FR"/>
        </w:rPr>
        <w:t>l</w:t>
      </w:r>
      <w:r w:rsidRPr="00460538">
        <w:rPr>
          <w:rFonts w:eastAsia="Times New Roman" w:cs="Arial"/>
          <w:lang w:eastAsia="fr-FR"/>
        </w:rPr>
        <w:t>a</w:t>
      </w:r>
      <w:proofErr w:type="gramEnd"/>
      <w:r w:rsidRPr="00460538">
        <w:rPr>
          <w:rFonts w:eastAsia="Times New Roman" w:cs="Arial"/>
          <w:lang w:eastAsia="fr-FR"/>
        </w:rPr>
        <w:t xml:space="preserve"> décision du 10 mars 2020 définissant les principes de bonnes pratiques prévues à l’article L.1222-12 du CSP </w:t>
      </w:r>
      <w:r w:rsidRPr="00460538">
        <w:rPr>
          <w:rFonts w:cs="Arial"/>
        </w:rPr>
        <w:t xml:space="preserve"> </w:t>
      </w:r>
    </w:p>
    <w:p w:rsidR="00460538" w:rsidRPr="00460538" w:rsidRDefault="00460538" w:rsidP="00460538">
      <w:pPr>
        <w:pStyle w:val="Paragraphedeliste"/>
        <w:numPr>
          <w:ilvl w:val="0"/>
          <w:numId w:val="11"/>
        </w:numPr>
        <w:spacing w:after="0" w:line="276" w:lineRule="auto"/>
        <w:ind w:left="709"/>
        <w:rPr>
          <w:rFonts w:cs="Arial"/>
          <w:b/>
        </w:rPr>
      </w:pPr>
      <w:proofErr w:type="gramStart"/>
      <w:r>
        <w:rPr>
          <w:rFonts w:cs="Arial"/>
        </w:rPr>
        <w:t>l</w:t>
      </w:r>
      <w:r w:rsidRPr="00460538">
        <w:rPr>
          <w:rFonts w:cs="Arial"/>
        </w:rPr>
        <w:t>es</w:t>
      </w:r>
      <w:proofErr w:type="gramEnd"/>
      <w:r w:rsidRPr="00460538">
        <w:rPr>
          <w:rFonts w:cs="Arial"/>
        </w:rPr>
        <w:t xml:space="preserve"> OAP post-transfusionnels. Fiche technique ANSM 2013</w:t>
      </w:r>
    </w:p>
    <w:p w:rsidR="00470594" w:rsidRDefault="00470594">
      <w:bookmarkStart w:id="0" w:name="_GoBack"/>
      <w:bookmarkEnd w:id="0"/>
    </w:p>
    <w:p w:rsidR="00470594" w:rsidRDefault="00470594"/>
    <w:p w:rsidR="00470594" w:rsidRDefault="00470594"/>
    <w:p w:rsidR="00470594" w:rsidRDefault="00470594"/>
    <w:p w:rsidR="00470594" w:rsidRDefault="00470594"/>
    <w:p w:rsidR="00460538" w:rsidRDefault="00460538"/>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gramStart"/>
            <w:r w:rsidRPr="00F72E1E">
              <w:rPr>
                <w:sz w:val="18"/>
              </w:rPr>
              <w:t>Dr.SAPEY</w:t>
            </w:r>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2A623E" w:rsidRDefault="002A623E" w:rsidP="00460538">
      <w:pPr>
        <w:spacing w:after="0" w:line="240" w:lineRule="auto"/>
        <w:contextualSpacing/>
        <w:rPr>
          <w:rFonts w:ascii="Calibri" w:eastAsia="Calibri" w:hAnsi="Calibri"/>
          <w:b/>
          <w:i/>
          <w:sz w:val="24"/>
          <w:u w:val="single"/>
        </w:rPr>
      </w:pPr>
    </w:p>
    <w:p w:rsidR="00460538" w:rsidRPr="00460538" w:rsidRDefault="00460538" w:rsidP="00460538">
      <w:pPr>
        <w:spacing w:after="0" w:line="240" w:lineRule="auto"/>
        <w:contextualSpacing/>
        <w:rPr>
          <w:rFonts w:ascii="Calibri" w:eastAsia="Calibri" w:hAnsi="Calibri"/>
          <w:b/>
          <w:i/>
          <w:sz w:val="24"/>
          <w:u w:val="single"/>
        </w:rPr>
      </w:pPr>
      <w:r w:rsidRPr="00460538">
        <w:rPr>
          <w:rFonts w:ascii="Calibri" w:eastAsia="Calibri" w:hAnsi="Calibri"/>
          <w:b/>
          <w:i/>
          <w:sz w:val="24"/>
          <w:u w:val="single"/>
        </w:rPr>
        <w:lastRenderedPageBreak/>
        <w:t>Introduction</w:t>
      </w:r>
    </w:p>
    <w:p w:rsidR="00460538" w:rsidRPr="00460538" w:rsidRDefault="00460538" w:rsidP="00460538">
      <w:pPr>
        <w:spacing w:after="200" w:line="276" w:lineRule="auto"/>
        <w:ind w:left="1068"/>
        <w:contextualSpacing/>
        <w:rPr>
          <w:rFonts w:ascii="Calibri" w:eastAsia="Calibri" w:hAnsi="Calibri"/>
        </w:rPr>
      </w:pPr>
    </w:p>
    <w:p w:rsidR="00460538" w:rsidRPr="00460538" w:rsidRDefault="00460538" w:rsidP="00460538">
      <w:pPr>
        <w:tabs>
          <w:tab w:val="left" w:pos="3510"/>
          <w:tab w:val="left" w:leader="dot" w:pos="5400"/>
        </w:tabs>
        <w:spacing w:after="200" w:line="360" w:lineRule="auto"/>
        <w:ind w:left="142" w:right="288" w:firstLine="138"/>
        <w:contextualSpacing/>
        <w:rPr>
          <w:rFonts w:cs="Arial"/>
          <w:szCs w:val="20"/>
        </w:rPr>
      </w:pPr>
      <w:r w:rsidRPr="00460538">
        <w:rPr>
          <w:rFonts w:cs="Arial"/>
          <w:szCs w:val="20"/>
        </w:rPr>
        <w:t>L’anémie est définie par l’OMS (Organisation Mondiale de la Santé) comme un taux d’</w:t>
      </w:r>
      <w:proofErr w:type="spellStart"/>
      <w:r w:rsidRPr="00460538">
        <w:rPr>
          <w:rFonts w:cs="Arial"/>
          <w:szCs w:val="20"/>
        </w:rPr>
        <w:t>Hb</w:t>
      </w:r>
      <w:proofErr w:type="spellEnd"/>
      <w:r w:rsidRPr="00460538">
        <w:rPr>
          <w:rFonts w:cs="Arial"/>
          <w:szCs w:val="20"/>
        </w:rPr>
        <w:t xml:space="preserve">&lt;12g/dl chez la femme et 13g/dl chez l’homme quel que soit l’âge. Sa prévalence chez le sujet âgé varie de 10% chez un patient autonome jusqu’à 50% en gériatrie aiguë. D’autre part, environ 40% des personnes âgées de plus de 80 ans présentent une affection cardio-vasculaire et environ 20% un </w:t>
      </w:r>
      <w:proofErr w:type="spellStart"/>
      <w:r w:rsidRPr="00460538">
        <w:rPr>
          <w:rFonts w:cs="Arial"/>
          <w:szCs w:val="20"/>
        </w:rPr>
        <w:t>syndrôme</w:t>
      </w:r>
      <w:proofErr w:type="spellEnd"/>
      <w:r w:rsidRPr="00460538">
        <w:rPr>
          <w:rFonts w:cs="Arial"/>
          <w:szCs w:val="20"/>
        </w:rPr>
        <w:t xml:space="preserve"> démentiel. De ce fait ils sont particulièrement sensibles à l’anémie et aussi à la surcharge volumique. </w:t>
      </w:r>
    </w:p>
    <w:p w:rsidR="00460538" w:rsidRPr="00460538" w:rsidRDefault="00460538" w:rsidP="00460538">
      <w:pPr>
        <w:tabs>
          <w:tab w:val="left" w:pos="3510"/>
          <w:tab w:val="left" w:leader="dot" w:pos="5400"/>
        </w:tabs>
        <w:spacing w:after="200" w:line="360" w:lineRule="auto"/>
        <w:ind w:left="142" w:right="288"/>
        <w:contextualSpacing/>
        <w:rPr>
          <w:rFonts w:cs="Arial"/>
          <w:szCs w:val="20"/>
        </w:rPr>
      </w:pPr>
      <w:r w:rsidRPr="00460538">
        <w:rPr>
          <w:rFonts w:cs="Arial"/>
          <w:szCs w:val="20"/>
        </w:rPr>
        <w:t xml:space="preserve">Sur la base du réseau national français d’hémovigilance, on recense de 2000 à 2009, 1974 cas de TACO (Transfusion Associated </w:t>
      </w:r>
      <w:proofErr w:type="spellStart"/>
      <w:r w:rsidRPr="00460538">
        <w:rPr>
          <w:rFonts w:cs="Arial"/>
          <w:szCs w:val="20"/>
        </w:rPr>
        <w:t>Circulatory</w:t>
      </w:r>
      <w:proofErr w:type="spellEnd"/>
      <w:r w:rsidRPr="00460538">
        <w:rPr>
          <w:rFonts w:cs="Arial"/>
          <w:szCs w:val="20"/>
        </w:rPr>
        <w:t xml:space="preserve"> </w:t>
      </w:r>
      <w:proofErr w:type="spellStart"/>
      <w:r w:rsidRPr="00460538">
        <w:rPr>
          <w:rFonts w:cs="Arial"/>
          <w:szCs w:val="20"/>
        </w:rPr>
        <w:t>Overload</w:t>
      </w:r>
      <w:proofErr w:type="spellEnd"/>
      <w:r w:rsidRPr="00460538">
        <w:rPr>
          <w:rFonts w:cs="Arial"/>
          <w:szCs w:val="20"/>
        </w:rPr>
        <w:t xml:space="preserve">) ou OAP (Œdème Aigu du Poumon) post transfusionnel. Il s’agit le plus souvent de receveurs de sexe féminin, l’âge médian étant de 78 ans. Les CGR (Concentré de Globules Rouges) sont en cause dans 93% des cas. Le taux de mortalité lié au TACO étant d’environ 2%. </w:t>
      </w:r>
    </w:p>
    <w:p w:rsidR="00470594" w:rsidRDefault="00460538" w:rsidP="00460538">
      <w:pPr>
        <w:ind w:left="142" w:firstLine="284"/>
        <w:rPr>
          <w:rFonts w:cs="Arial"/>
          <w:szCs w:val="20"/>
        </w:rPr>
      </w:pPr>
      <w:r w:rsidRPr="00460538">
        <w:rPr>
          <w:rFonts w:cs="Arial"/>
          <w:szCs w:val="20"/>
        </w:rPr>
        <w:t>Dans la plupart des cas il s’agit donc d’une population âgée avec souvent une affection cardio-vasculaire sous-jacente</w:t>
      </w:r>
    </w:p>
    <w:p w:rsidR="00460538" w:rsidRDefault="00460538" w:rsidP="00460538">
      <w:pPr>
        <w:ind w:left="142" w:firstLine="284"/>
        <w:rPr>
          <w:rFonts w:cs="Arial"/>
          <w:szCs w:val="20"/>
        </w:rPr>
      </w:pPr>
    </w:p>
    <w:p w:rsidR="00460538" w:rsidRDefault="00460538" w:rsidP="00460538">
      <w:pPr>
        <w:spacing w:after="200" w:line="276" w:lineRule="auto"/>
        <w:contextualSpacing/>
        <w:rPr>
          <w:rFonts w:ascii="Calibri" w:eastAsia="Calibri" w:hAnsi="Calibri"/>
          <w:b/>
          <w:i/>
          <w:u w:val="single"/>
        </w:rPr>
      </w:pPr>
      <w:r w:rsidRPr="00460538">
        <w:rPr>
          <w:rFonts w:ascii="Calibri" w:eastAsia="Calibri" w:hAnsi="Calibri"/>
          <w:b/>
          <w:i/>
          <w:u w:val="single"/>
        </w:rPr>
        <w:t>Transfusion de CGR</w:t>
      </w:r>
    </w:p>
    <w:p w:rsidR="00C51406" w:rsidRPr="00460538" w:rsidRDefault="00C51406" w:rsidP="00460538">
      <w:pPr>
        <w:spacing w:after="200" w:line="276" w:lineRule="auto"/>
        <w:contextualSpacing/>
        <w:rPr>
          <w:rFonts w:ascii="Calibri" w:eastAsia="Calibri" w:hAnsi="Calibri"/>
          <w:b/>
          <w:i/>
          <w:u w:val="single"/>
        </w:rPr>
      </w:pPr>
    </w:p>
    <w:p w:rsidR="00460538" w:rsidRPr="00460538" w:rsidRDefault="00460538" w:rsidP="00460538">
      <w:pPr>
        <w:numPr>
          <w:ilvl w:val="0"/>
          <w:numId w:val="14"/>
        </w:numPr>
        <w:tabs>
          <w:tab w:val="left" w:pos="3510"/>
          <w:tab w:val="left" w:leader="dot" w:pos="5400"/>
        </w:tabs>
        <w:spacing w:after="0" w:line="480" w:lineRule="auto"/>
        <w:ind w:left="567"/>
        <w:contextualSpacing/>
        <w:jc w:val="both"/>
        <w:rPr>
          <w:rFonts w:cs="Arial"/>
          <w:i/>
          <w:color w:val="E95978"/>
          <w:sz w:val="24"/>
          <w:szCs w:val="20"/>
          <w:u w:val="single"/>
        </w:rPr>
      </w:pPr>
      <w:r w:rsidRPr="00460538">
        <w:rPr>
          <w:rFonts w:cs="Arial"/>
          <w:i/>
          <w:color w:val="E95978"/>
          <w:sz w:val="24"/>
          <w:szCs w:val="20"/>
          <w:u w:val="single"/>
        </w:rPr>
        <w:t xml:space="preserve">Indications </w:t>
      </w:r>
    </w:p>
    <w:p w:rsidR="00460538" w:rsidRPr="00460538" w:rsidRDefault="00460538" w:rsidP="00460538">
      <w:pPr>
        <w:tabs>
          <w:tab w:val="left" w:pos="3510"/>
          <w:tab w:val="left" w:leader="dot" w:pos="5400"/>
        </w:tabs>
        <w:spacing w:line="360" w:lineRule="auto"/>
        <w:ind w:left="142" w:right="288" w:firstLine="283"/>
        <w:jc w:val="both"/>
        <w:rPr>
          <w:rFonts w:cs="Arial"/>
          <w:szCs w:val="20"/>
        </w:rPr>
      </w:pPr>
      <w:r w:rsidRPr="00460538">
        <w:rPr>
          <w:rFonts w:cs="Arial"/>
          <w:szCs w:val="20"/>
        </w:rPr>
        <w:t>L’anémie de la personne âgée a un retentissement sur l’autonomie, et majore les séjours en institution. Elle est souvent associée à des pathologies diverses (neurologique, cardiaque, vasculaire…). Les seuils d’</w:t>
      </w:r>
      <w:proofErr w:type="spellStart"/>
      <w:r w:rsidRPr="00460538">
        <w:rPr>
          <w:rFonts w:cs="Arial"/>
          <w:szCs w:val="20"/>
        </w:rPr>
        <w:t>Hb</w:t>
      </w:r>
      <w:proofErr w:type="spellEnd"/>
      <w:r w:rsidRPr="00460538">
        <w:rPr>
          <w:rFonts w:cs="Arial"/>
          <w:szCs w:val="20"/>
        </w:rPr>
        <w:t xml:space="preserve"> sont définis pas les recommandations de l’ANSM/HAS : </w:t>
      </w:r>
    </w:p>
    <w:p w:rsidR="00460538" w:rsidRPr="00460538" w:rsidRDefault="00460538" w:rsidP="00460538">
      <w:pPr>
        <w:pStyle w:val="Paragraphedeliste"/>
        <w:numPr>
          <w:ilvl w:val="0"/>
          <w:numId w:val="19"/>
        </w:numPr>
        <w:tabs>
          <w:tab w:val="left" w:pos="3510"/>
          <w:tab w:val="left" w:leader="dot" w:pos="5400"/>
        </w:tabs>
        <w:spacing w:after="0" w:line="240" w:lineRule="auto"/>
        <w:ind w:left="1134" w:right="288"/>
        <w:jc w:val="both"/>
        <w:rPr>
          <w:rFonts w:cs="Arial"/>
          <w:szCs w:val="20"/>
        </w:rPr>
      </w:pPr>
      <w:r w:rsidRPr="00460538">
        <w:rPr>
          <w:rFonts w:cs="Arial"/>
          <w:szCs w:val="20"/>
        </w:rPr>
        <w:t>7g/dl en l’absence d’insuffisance cardiaque ou coronarienne et de mauvaise tolérance clinique,</w:t>
      </w:r>
    </w:p>
    <w:p w:rsidR="00460538" w:rsidRPr="00460538" w:rsidRDefault="00460538" w:rsidP="00460538">
      <w:pPr>
        <w:pStyle w:val="Paragraphedeliste"/>
        <w:numPr>
          <w:ilvl w:val="0"/>
          <w:numId w:val="19"/>
        </w:numPr>
        <w:tabs>
          <w:tab w:val="left" w:pos="3510"/>
          <w:tab w:val="left" w:leader="dot" w:pos="5400"/>
        </w:tabs>
        <w:spacing w:after="0" w:line="240" w:lineRule="auto"/>
        <w:ind w:left="1134" w:right="288"/>
        <w:jc w:val="both"/>
        <w:rPr>
          <w:rFonts w:cs="Arial"/>
          <w:szCs w:val="20"/>
        </w:rPr>
      </w:pPr>
      <w:r w:rsidRPr="00460538">
        <w:rPr>
          <w:rFonts w:cs="Arial"/>
          <w:szCs w:val="20"/>
        </w:rPr>
        <w:t>8g/dl chez les insuffisants cardiaques ou coronariens,</w:t>
      </w:r>
    </w:p>
    <w:p w:rsidR="00460538" w:rsidRPr="00460538" w:rsidRDefault="00460538" w:rsidP="00460538">
      <w:pPr>
        <w:pStyle w:val="Paragraphedeliste"/>
        <w:numPr>
          <w:ilvl w:val="0"/>
          <w:numId w:val="19"/>
        </w:numPr>
        <w:tabs>
          <w:tab w:val="left" w:pos="3510"/>
          <w:tab w:val="left" w:leader="dot" w:pos="5400"/>
        </w:tabs>
        <w:spacing w:after="0" w:line="480" w:lineRule="auto"/>
        <w:ind w:left="1134" w:right="288"/>
        <w:jc w:val="both"/>
        <w:rPr>
          <w:rFonts w:cs="Arial"/>
          <w:szCs w:val="20"/>
        </w:rPr>
      </w:pPr>
      <w:r w:rsidRPr="00460538">
        <w:rPr>
          <w:rFonts w:cs="Arial"/>
          <w:szCs w:val="20"/>
        </w:rPr>
        <w:t>10g/dl en cas de mauvaise tolérance clinique.</w:t>
      </w:r>
    </w:p>
    <w:p w:rsidR="00460538" w:rsidRPr="00460538" w:rsidRDefault="00460538" w:rsidP="00460538">
      <w:pPr>
        <w:tabs>
          <w:tab w:val="left" w:pos="3510"/>
          <w:tab w:val="left" w:leader="dot" w:pos="5400"/>
        </w:tabs>
        <w:spacing w:line="360" w:lineRule="auto"/>
        <w:ind w:left="142" w:right="288" w:firstLine="283"/>
        <w:rPr>
          <w:rFonts w:cs="Arial"/>
          <w:szCs w:val="24"/>
        </w:rPr>
      </w:pPr>
      <w:r w:rsidRPr="00460538">
        <w:rPr>
          <w:rFonts w:cs="Arial"/>
          <w:spacing w:val="1"/>
          <w:szCs w:val="24"/>
        </w:rPr>
        <w:t>Plus que le taux brut d’hémoglobine (</w:t>
      </w:r>
      <w:proofErr w:type="spellStart"/>
      <w:r w:rsidRPr="00460538">
        <w:rPr>
          <w:rFonts w:cs="Arial"/>
          <w:spacing w:val="1"/>
          <w:szCs w:val="24"/>
        </w:rPr>
        <w:t>Hb</w:t>
      </w:r>
      <w:proofErr w:type="spellEnd"/>
      <w:r w:rsidRPr="00460538">
        <w:rPr>
          <w:rFonts w:cs="Arial"/>
          <w:spacing w:val="1"/>
          <w:szCs w:val="24"/>
        </w:rPr>
        <w:t>), c’est la tolérance de l’anémie qui doit être le principal critère pour poser l’indication d’une transfusion et son degré d’urgence. Elle est conditionnée par le taux d’</w:t>
      </w:r>
      <w:proofErr w:type="spellStart"/>
      <w:r w:rsidRPr="00460538">
        <w:rPr>
          <w:rFonts w:cs="Arial"/>
          <w:spacing w:val="1"/>
          <w:szCs w:val="24"/>
        </w:rPr>
        <w:t>Hb</w:t>
      </w:r>
      <w:proofErr w:type="spellEnd"/>
      <w:r w:rsidRPr="00460538">
        <w:rPr>
          <w:rFonts w:cs="Arial"/>
          <w:spacing w:val="1"/>
          <w:szCs w:val="24"/>
        </w:rPr>
        <w:t>, mais aussi par la cinétique d’installation de l’anémie, l’estimation de la vitesse du saignement et les possibilités d’adaptation liées aux pathologies associées.</w:t>
      </w:r>
    </w:p>
    <w:p w:rsidR="00460538" w:rsidRPr="00460538" w:rsidRDefault="00460538" w:rsidP="00460538">
      <w:pPr>
        <w:tabs>
          <w:tab w:val="left" w:pos="3510"/>
          <w:tab w:val="left" w:leader="dot" w:pos="5400"/>
        </w:tabs>
        <w:spacing w:line="360" w:lineRule="auto"/>
        <w:ind w:left="142" w:right="288" w:firstLine="283"/>
        <w:rPr>
          <w:rFonts w:cs="Arial"/>
          <w:szCs w:val="20"/>
        </w:rPr>
      </w:pPr>
      <w:r w:rsidRPr="00460538">
        <w:rPr>
          <w:rFonts w:cs="Arial"/>
          <w:szCs w:val="20"/>
        </w:rPr>
        <w:t>L’indication de la transfusion doit donc toujours être discutée en fonction des seuils, de la cause de l’anémie, du mode d’installation et du rapport bénéfice/risque.</w:t>
      </w:r>
    </w:p>
    <w:p w:rsidR="00460538" w:rsidRPr="00460538" w:rsidRDefault="00460538" w:rsidP="00460538">
      <w:pPr>
        <w:numPr>
          <w:ilvl w:val="0"/>
          <w:numId w:val="13"/>
        </w:numPr>
        <w:tabs>
          <w:tab w:val="left" w:pos="3510"/>
          <w:tab w:val="left" w:leader="dot" w:pos="5400"/>
        </w:tabs>
        <w:spacing w:after="0" w:line="480" w:lineRule="auto"/>
        <w:ind w:left="567"/>
        <w:contextualSpacing/>
        <w:jc w:val="both"/>
        <w:rPr>
          <w:rFonts w:cs="Arial"/>
          <w:b/>
          <w:i/>
          <w:color w:val="E95978"/>
          <w:sz w:val="24"/>
          <w:szCs w:val="20"/>
          <w:u w:val="single"/>
        </w:rPr>
      </w:pPr>
      <w:r w:rsidRPr="00460538">
        <w:rPr>
          <w:rFonts w:cs="Arial"/>
          <w:i/>
          <w:color w:val="E95978"/>
          <w:sz w:val="24"/>
          <w:szCs w:val="20"/>
          <w:u w:val="single"/>
        </w:rPr>
        <w:lastRenderedPageBreak/>
        <w:t>Modalités de transfusion et de surveillance</w:t>
      </w:r>
    </w:p>
    <w:p w:rsidR="00460538" w:rsidRPr="00460538" w:rsidRDefault="00460538" w:rsidP="00460538">
      <w:pPr>
        <w:tabs>
          <w:tab w:val="left" w:pos="3510"/>
          <w:tab w:val="left" w:leader="dot" w:pos="5400"/>
        </w:tabs>
        <w:spacing w:line="360" w:lineRule="auto"/>
        <w:ind w:left="142" w:right="288" w:firstLine="283"/>
        <w:jc w:val="both"/>
        <w:rPr>
          <w:rFonts w:cs="Arial"/>
          <w:szCs w:val="20"/>
        </w:rPr>
      </w:pPr>
      <w:r w:rsidRPr="00460538">
        <w:rPr>
          <w:rFonts w:cs="Arial"/>
          <w:szCs w:val="20"/>
        </w:rPr>
        <w:t>Il convient tout d’abord d’avoir une voie d’abord veineuse de qualité. Position du patient semi-assise.</w:t>
      </w:r>
    </w:p>
    <w:p w:rsidR="00460538" w:rsidRPr="00460538" w:rsidRDefault="00460538" w:rsidP="00460538">
      <w:pPr>
        <w:tabs>
          <w:tab w:val="left" w:pos="3510"/>
          <w:tab w:val="left" w:leader="dot" w:pos="5400"/>
        </w:tabs>
        <w:spacing w:line="360" w:lineRule="auto"/>
        <w:ind w:left="142" w:right="288" w:firstLine="283"/>
        <w:jc w:val="both"/>
        <w:rPr>
          <w:rFonts w:cs="Arial"/>
          <w:szCs w:val="20"/>
        </w:rPr>
      </w:pPr>
      <w:r w:rsidRPr="00460538">
        <w:rPr>
          <w:rFonts w:cs="Arial"/>
          <w:szCs w:val="20"/>
        </w:rPr>
        <w:t>Il est recommandé de ne prescrire qu’un seul CGR à la fois avec adaptation en fonction du contexte clinique. Le volume d’un CGR de 300 ml entraîne une élévation de 5 à 10% de la masse sanguine. Cette élévation augmente le volume transmis aux cavités cardiaques droites puis dans la circulation pulmonaire, entrainant si la pression pulmonaire est élevée, une extravasation de liquide plasmatique dans les alvéoles, donc un OAP. Cela est d’autant plus élevé que le volume est important et que la vitesse est rapide.</w:t>
      </w:r>
    </w:p>
    <w:p w:rsidR="00460538" w:rsidRPr="00460538" w:rsidRDefault="00460538" w:rsidP="00460538">
      <w:pPr>
        <w:tabs>
          <w:tab w:val="left" w:pos="3510"/>
          <w:tab w:val="left" w:leader="dot" w:pos="5400"/>
        </w:tabs>
        <w:spacing w:line="360" w:lineRule="auto"/>
        <w:ind w:left="142" w:right="288" w:firstLine="283"/>
        <w:jc w:val="both"/>
        <w:rPr>
          <w:rFonts w:cs="Arial"/>
          <w:szCs w:val="20"/>
        </w:rPr>
      </w:pPr>
      <w:r w:rsidRPr="00460538">
        <w:rPr>
          <w:rFonts w:cs="Arial"/>
          <w:szCs w:val="20"/>
        </w:rPr>
        <w:t xml:space="preserve">Il faut donc aussi impérativement une adaptation de la vitesse de transfusion. Il convient de débuter avec </w:t>
      </w:r>
      <w:r w:rsidRPr="00460538">
        <w:rPr>
          <w:rFonts w:cs="Arial"/>
          <w:color w:val="FF0000"/>
          <w:szCs w:val="20"/>
        </w:rPr>
        <w:t xml:space="preserve">un débit lent &lt;5ml/mn pendant les 15 premières minutes </w:t>
      </w:r>
      <w:r w:rsidRPr="00460538">
        <w:rPr>
          <w:rFonts w:cs="Arial"/>
          <w:szCs w:val="20"/>
        </w:rPr>
        <w:t>puis adapter en fonction de la tolérance et des antécédents du patient. La durée moyenne de transfusion se situe autour de 2 heures, mais elle peut-être plus longue selon la tolérance. Tout ceci doit faire l’objet d’une prescription médicale qui est à adapter à chaque patient.</w:t>
      </w:r>
    </w:p>
    <w:p w:rsidR="00460538" w:rsidRPr="00460538" w:rsidRDefault="00460538" w:rsidP="00460538">
      <w:pPr>
        <w:tabs>
          <w:tab w:val="left" w:pos="3510"/>
          <w:tab w:val="left" w:leader="dot" w:pos="5400"/>
        </w:tabs>
        <w:spacing w:line="360" w:lineRule="auto"/>
        <w:ind w:left="291" w:right="288" w:firstLine="283"/>
        <w:jc w:val="both"/>
        <w:rPr>
          <w:rFonts w:cs="Arial"/>
          <w:b/>
          <w:szCs w:val="20"/>
        </w:rPr>
      </w:pPr>
    </w:p>
    <w:p w:rsidR="00460538" w:rsidRPr="00460538" w:rsidRDefault="00460538" w:rsidP="00460538">
      <w:pPr>
        <w:tabs>
          <w:tab w:val="left" w:pos="3510"/>
          <w:tab w:val="left" w:leader="dot" w:pos="5400"/>
        </w:tabs>
        <w:spacing w:line="360" w:lineRule="auto"/>
        <w:ind w:left="142" w:right="288" w:firstLine="425"/>
        <w:jc w:val="both"/>
        <w:rPr>
          <w:rFonts w:cs="Arial"/>
          <w:szCs w:val="20"/>
        </w:rPr>
      </w:pPr>
      <w:r w:rsidRPr="00460538">
        <w:rPr>
          <w:rFonts w:cs="Arial"/>
          <w:szCs w:val="20"/>
        </w:rPr>
        <w:t>La surveillance doit être rigoureuse, outre les paramètres habituels (fréquence cardiaque, pression artérielle, température), la fréquence respiratoire et la saturation en oxygène pendant la transfusion à intervalles réguliers de 15 à 30 minutes.</w:t>
      </w:r>
    </w:p>
    <w:p w:rsidR="00460538" w:rsidRPr="00460538" w:rsidRDefault="00460538" w:rsidP="00460538">
      <w:pPr>
        <w:tabs>
          <w:tab w:val="left" w:pos="3510"/>
          <w:tab w:val="left" w:leader="dot" w:pos="5400"/>
        </w:tabs>
        <w:spacing w:line="360" w:lineRule="auto"/>
        <w:ind w:left="142" w:right="288" w:firstLine="425"/>
        <w:rPr>
          <w:rFonts w:cs="Arial"/>
          <w:szCs w:val="20"/>
        </w:rPr>
      </w:pPr>
      <w:r w:rsidRPr="00460538">
        <w:rPr>
          <w:rFonts w:cs="Arial"/>
          <w:szCs w:val="20"/>
        </w:rPr>
        <w:t>La surveillance de la transfusion chez les personnes âgées doit pouvoir se faire dans les 6 heures qui suivent la fin de la transfusion, certains des effets indésirables étant tardifs.</w:t>
      </w:r>
    </w:p>
    <w:p w:rsidR="00460538" w:rsidRPr="00460538" w:rsidRDefault="00460538" w:rsidP="00460538">
      <w:pPr>
        <w:tabs>
          <w:tab w:val="left" w:pos="3510"/>
          <w:tab w:val="left" w:leader="dot" w:pos="5400"/>
        </w:tabs>
        <w:spacing w:line="360" w:lineRule="auto"/>
        <w:ind w:left="142" w:right="288" w:firstLine="425"/>
        <w:rPr>
          <w:rFonts w:cs="Arial"/>
          <w:szCs w:val="20"/>
        </w:rPr>
      </w:pPr>
      <w:r w:rsidRPr="00460538">
        <w:rPr>
          <w:rFonts w:cs="Arial"/>
          <w:szCs w:val="20"/>
        </w:rPr>
        <w:t>En cas de transfusion en hôpital de jour, il est recommandé que l’autorisation de sortie soit délivrée par un médecin, après information du patient et de son entourage des symptômes d’alerte de l’OAP (dyspnée, toux, douleur thoracique…).</w:t>
      </w:r>
    </w:p>
    <w:p w:rsidR="00460538" w:rsidRPr="00460538" w:rsidRDefault="00460538" w:rsidP="00460538">
      <w:pPr>
        <w:numPr>
          <w:ilvl w:val="0"/>
          <w:numId w:val="13"/>
        </w:numPr>
        <w:tabs>
          <w:tab w:val="left" w:pos="3510"/>
          <w:tab w:val="left" w:leader="dot" w:pos="5400"/>
        </w:tabs>
        <w:spacing w:after="0" w:line="480" w:lineRule="auto"/>
        <w:ind w:left="567" w:hanging="425"/>
        <w:contextualSpacing/>
        <w:jc w:val="both"/>
        <w:rPr>
          <w:rFonts w:cs="Arial"/>
          <w:b/>
          <w:i/>
          <w:color w:val="E95978"/>
          <w:sz w:val="24"/>
          <w:szCs w:val="20"/>
          <w:u w:val="single"/>
        </w:rPr>
      </w:pPr>
      <w:r w:rsidRPr="00460538">
        <w:rPr>
          <w:rFonts w:cs="Arial"/>
          <w:i/>
          <w:color w:val="E95978"/>
          <w:sz w:val="24"/>
          <w:szCs w:val="20"/>
          <w:u w:val="single"/>
        </w:rPr>
        <w:t xml:space="preserve">Protocole : </w:t>
      </w:r>
    </w:p>
    <w:p w:rsidR="00460538" w:rsidRPr="00460538" w:rsidRDefault="00460538" w:rsidP="00460538">
      <w:pPr>
        <w:tabs>
          <w:tab w:val="left" w:pos="3510"/>
          <w:tab w:val="left" w:leader="dot" w:pos="5400"/>
        </w:tabs>
        <w:spacing w:line="360" w:lineRule="auto"/>
        <w:ind w:left="142" w:right="288" w:firstLine="425"/>
        <w:rPr>
          <w:rFonts w:cs="Arial"/>
          <w:b/>
          <w:szCs w:val="20"/>
        </w:rPr>
      </w:pPr>
      <w:r w:rsidRPr="00460538">
        <w:rPr>
          <w:rFonts w:cs="Arial"/>
          <w:szCs w:val="20"/>
        </w:rPr>
        <w:t>La transfusion en protocole « phénotype RH-KEL1 » n’est pas recommandé sauf si des transfusions répétées sont prévues, comme dans le cadre des syndromes myélodysplasiques.</w:t>
      </w:r>
    </w:p>
    <w:p w:rsidR="00460538" w:rsidRDefault="00460538" w:rsidP="00460538">
      <w:pPr>
        <w:tabs>
          <w:tab w:val="left" w:pos="3510"/>
          <w:tab w:val="left" w:leader="dot" w:pos="5400"/>
        </w:tabs>
        <w:spacing w:after="200" w:line="480" w:lineRule="auto"/>
        <w:ind w:left="2844"/>
        <w:contextualSpacing/>
        <w:jc w:val="both"/>
        <w:rPr>
          <w:rFonts w:cs="Arial"/>
          <w:b/>
          <w:sz w:val="16"/>
          <w:szCs w:val="20"/>
        </w:rPr>
      </w:pPr>
    </w:p>
    <w:p w:rsidR="00460538" w:rsidRDefault="00460538" w:rsidP="00460538">
      <w:pPr>
        <w:tabs>
          <w:tab w:val="left" w:pos="3510"/>
          <w:tab w:val="left" w:leader="dot" w:pos="5400"/>
        </w:tabs>
        <w:spacing w:after="200" w:line="480" w:lineRule="auto"/>
        <w:ind w:left="2844"/>
        <w:contextualSpacing/>
        <w:jc w:val="both"/>
        <w:rPr>
          <w:rFonts w:cs="Arial"/>
          <w:b/>
          <w:sz w:val="16"/>
          <w:szCs w:val="20"/>
        </w:rPr>
      </w:pPr>
    </w:p>
    <w:p w:rsidR="00460538" w:rsidRPr="00460538" w:rsidRDefault="00460538" w:rsidP="00460538">
      <w:pPr>
        <w:tabs>
          <w:tab w:val="left" w:pos="3510"/>
          <w:tab w:val="left" w:leader="dot" w:pos="5400"/>
        </w:tabs>
        <w:spacing w:after="200" w:line="480" w:lineRule="auto"/>
        <w:ind w:left="2844"/>
        <w:contextualSpacing/>
        <w:jc w:val="both"/>
        <w:rPr>
          <w:rFonts w:cs="Arial"/>
          <w:b/>
          <w:sz w:val="16"/>
          <w:szCs w:val="20"/>
        </w:rPr>
      </w:pPr>
    </w:p>
    <w:p w:rsidR="00460538" w:rsidRPr="00460538" w:rsidRDefault="00460538" w:rsidP="00460538">
      <w:pPr>
        <w:numPr>
          <w:ilvl w:val="0"/>
          <w:numId w:val="13"/>
        </w:numPr>
        <w:tabs>
          <w:tab w:val="left" w:pos="3510"/>
          <w:tab w:val="left" w:leader="dot" w:pos="5400"/>
        </w:tabs>
        <w:spacing w:after="0" w:line="480" w:lineRule="auto"/>
        <w:ind w:left="709"/>
        <w:contextualSpacing/>
        <w:jc w:val="both"/>
        <w:rPr>
          <w:rFonts w:cs="Arial"/>
          <w:b/>
          <w:i/>
          <w:sz w:val="24"/>
          <w:szCs w:val="20"/>
          <w:u w:val="single"/>
        </w:rPr>
      </w:pPr>
      <w:r w:rsidRPr="00460538">
        <w:rPr>
          <w:rFonts w:cs="Arial"/>
          <w:i/>
          <w:color w:val="E95978"/>
          <w:sz w:val="24"/>
          <w:szCs w:val="20"/>
          <w:u w:val="single"/>
        </w:rPr>
        <w:t>Prévention de l’œdème du poumon </w:t>
      </w:r>
    </w:p>
    <w:p w:rsidR="00460538" w:rsidRPr="00460538" w:rsidRDefault="00460538" w:rsidP="00460538">
      <w:pPr>
        <w:tabs>
          <w:tab w:val="left" w:pos="3510"/>
          <w:tab w:val="left" w:leader="dot" w:pos="5400"/>
        </w:tabs>
        <w:spacing w:line="360" w:lineRule="auto"/>
        <w:ind w:left="142" w:right="288" w:firstLine="432"/>
        <w:jc w:val="both"/>
        <w:rPr>
          <w:rFonts w:cs="Arial"/>
          <w:szCs w:val="20"/>
        </w:rPr>
      </w:pPr>
      <w:r w:rsidRPr="00460538">
        <w:rPr>
          <w:rFonts w:cs="Arial"/>
          <w:szCs w:val="20"/>
        </w:rPr>
        <w:t xml:space="preserve">La survenue des OAP ou TACO fait partie des effets indésirables transfusionnels, qui peuvent être prévenus ou limités par une adaptation de la transfusion et une surveillance étroite. </w:t>
      </w:r>
    </w:p>
    <w:p w:rsidR="00460538" w:rsidRPr="00460538" w:rsidRDefault="00460538" w:rsidP="00460538">
      <w:pPr>
        <w:tabs>
          <w:tab w:val="left" w:pos="3510"/>
          <w:tab w:val="left" w:leader="dot" w:pos="5400"/>
        </w:tabs>
        <w:spacing w:line="360" w:lineRule="auto"/>
        <w:ind w:left="291" w:right="288" w:firstLine="283"/>
        <w:jc w:val="both"/>
        <w:rPr>
          <w:rFonts w:cs="Arial"/>
          <w:szCs w:val="20"/>
        </w:rPr>
      </w:pPr>
      <w:r w:rsidRPr="00460538">
        <w:rPr>
          <w:rFonts w:cs="Arial"/>
          <w:noProof/>
          <w:szCs w:val="20"/>
          <w:lang w:eastAsia="fr-FR"/>
        </w:rPr>
        <mc:AlternateContent>
          <mc:Choice Requires="wps">
            <w:drawing>
              <wp:anchor distT="0" distB="0" distL="114300" distR="114300" simplePos="0" relativeHeight="251661312" behindDoc="0" locked="0" layoutInCell="1" allowOverlap="1" wp14:anchorId="7A8B3E75" wp14:editId="4AE80D35">
                <wp:simplePos x="0" y="0"/>
                <wp:positionH relativeFrom="column">
                  <wp:posOffset>288925</wp:posOffset>
                </wp:positionH>
                <wp:positionV relativeFrom="paragraph">
                  <wp:posOffset>210820</wp:posOffset>
                </wp:positionV>
                <wp:extent cx="5048250" cy="6858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5048250" cy="6858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460538" w:rsidRPr="00394D3C" w:rsidRDefault="00460538" w:rsidP="00460538">
                            <w:pPr>
                              <w:tabs>
                                <w:tab w:val="left" w:pos="3510"/>
                                <w:tab w:val="left" w:leader="dot" w:pos="5400"/>
                              </w:tabs>
                              <w:spacing w:line="360" w:lineRule="auto"/>
                              <w:ind w:left="291" w:right="288" w:firstLine="283"/>
                              <w:jc w:val="center"/>
                              <w:rPr>
                                <w:rFonts w:cs="Arial"/>
                                <w:b/>
                                <w:color w:val="FF0000"/>
                                <w:sz w:val="24"/>
                                <w:szCs w:val="20"/>
                              </w:rPr>
                            </w:pPr>
                            <w:r w:rsidRPr="001D2E3B">
                              <w:rPr>
                                <w:rFonts w:cs="Arial"/>
                                <w:b/>
                                <w:sz w:val="28"/>
                                <w:szCs w:val="20"/>
                              </w:rPr>
                              <w:t>Il est important de dépister avant la transfusion les patients à risques</w:t>
                            </w:r>
                            <w:r w:rsidRPr="001D2E3B">
                              <w:rPr>
                                <w:rFonts w:cs="Arial"/>
                                <w:sz w:val="28"/>
                                <w:szCs w:val="20"/>
                              </w:rPr>
                              <w:t xml:space="preserve"> </w:t>
                            </w:r>
                            <w:r>
                              <w:rPr>
                                <w:rFonts w:cs="Arial"/>
                                <w:b/>
                                <w:sz w:val="28"/>
                                <w:szCs w:val="20"/>
                              </w:rPr>
                              <w:t>de faire un TACO</w:t>
                            </w:r>
                          </w:p>
                          <w:p w:rsidR="00460538" w:rsidRDefault="00460538" w:rsidP="004605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8B3E75" id="Rectangle à coins arrondis 5" o:spid="_x0000_s1027" style="position:absolute;left:0;text-align:left;margin-left:22.75pt;margin-top:16.6pt;width:397.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" fillcolor="#f7bda4" strokecolor="#ed7d31" strokeweight=".5pt">
                <v:fill color2="#f8a581" rotate="t" colors="0 #f7bda4;.5 #f5b195;1 #f8a581" focus="100%" type="gradient">
                  <o:fill v:ext="view" type="gradientUnscaled"/>
                </v:fill>
                <v:stroke joinstyle="miter"/>
                <v:textbox>
                  <w:txbxContent>
                    <w:p w:rsidR="00460538" w:rsidRPr="00394D3C" w:rsidRDefault="00460538" w:rsidP="00460538">
                      <w:pPr>
                        <w:tabs>
                          <w:tab w:val="left" w:pos="3510"/>
                          <w:tab w:val="left" w:leader="dot" w:pos="5400"/>
                        </w:tabs>
                        <w:spacing w:line="360" w:lineRule="auto"/>
                        <w:ind w:left="291" w:right="288" w:firstLine="283"/>
                        <w:jc w:val="center"/>
                        <w:rPr>
                          <w:rFonts w:cs="Arial"/>
                          <w:b/>
                          <w:color w:val="FF0000"/>
                          <w:sz w:val="24"/>
                          <w:szCs w:val="20"/>
                        </w:rPr>
                      </w:pPr>
                      <w:r w:rsidRPr="001D2E3B">
                        <w:rPr>
                          <w:rFonts w:cs="Arial"/>
                          <w:b/>
                          <w:sz w:val="28"/>
                          <w:szCs w:val="20"/>
                        </w:rPr>
                        <w:t>Il est important de dépister avant la transfusion les patients à risques</w:t>
                      </w:r>
                      <w:r w:rsidRPr="001D2E3B">
                        <w:rPr>
                          <w:rFonts w:cs="Arial"/>
                          <w:sz w:val="28"/>
                          <w:szCs w:val="20"/>
                        </w:rPr>
                        <w:t xml:space="preserve"> </w:t>
                      </w:r>
                      <w:r>
                        <w:rPr>
                          <w:rFonts w:cs="Arial"/>
                          <w:b/>
                          <w:sz w:val="28"/>
                          <w:szCs w:val="20"/>
                        </w:rPr>
                        <w:t>de faire un TACO</w:t>
                      </w:r>
                    </w:p>
                    <w:p w:rsidR="00460538" w:rsidRDefault="00460538" w:rsidP="00460538">
                      <w:pPr>
                        <w:jc w:val="center"/>
                      </w:pPr>
                    </w:p>
                  </w:txbxContent>
                </v:textbox>
              </v:roundrect>
            </w:pict>
          </mc:Fallback>
        </mc:AlternateContent>
      </w:r>
    </w:p>
    <w:p w:rsidR="00460538" w:rsidRPr="00460538" w:rsidRDefault="00460538" w:rsidP="00460538">
      <w:pPr>
        <w:tabs>
          <w:tab w:val="left" w:pos="3510"/>
          <w:tab w:val="left" w:leader="dot" w:pos="5400"/>
        </w:tabs>
        <w:spacing w:line="360" w:lineRule="auto"/>
        <w:ind w:left="291" w:right="288" w:firstLine="283"/>
        <w:jc w:val="both"/>
        <w:rPr>
          <w:rFonts w:cs="Arial"/>
          <w:szCs w:val="20"/>
        </w:rPr>
      </w:pPr>
    </w:p>
    <w:p w:rsidR="00460538" w:rsidRPr="00460538" w:rsidRDefault="00460538" w:rsidP="00460538">
      <w:pPr>
        <w:tabs>
          <w:tab w:val="left" w:pos="3510"/>
          <w:tab w:val="left" w:leader="dot" w:pos="5400"/>
        </w:tabs>
        <w:spacing w:after="200" w:line="480" w:lineRule="auto"/>
        <w:ind w:left="2844"/>
        <w:contextualSpacing/>
        <w:jc w:val="both"/>
        <w:rPr>
          <w:rFonts w:ascii="Arial" w:hAnsi="Arial" w:cs="Arial"/>
          <w:sz w:val="18"/>
          <w:szCs w:val="20"/>
        </w:rPr>
      </w:pPr>
    </w:p>
    <w:p w:rsidR="00460538" w:rsidRPr="00460538" w:rsidRDefault="00460538" w:rsidP="00460538">
      <w:pPr>
        <w:tabs>
          <w:tab w:val="left" w:pos="3510"/>
          <w:tab w:val="left" w:leader="dot" w:pos="5400"/>
        </w:tabs>
        <w:spacing w:after="200" w:line="480" w:lineRule="auto"/>
        <w:ind w:left="2844"/>
        <w:contextualSpacing/>
        <w:jc w:val="both"/>
        <w:rPr>
          <w:rFonts w:ascii="Arial" w:hAnsi="Arial" w:cs="Arial"/>
          <w:sz w:val="18"/>
          <w:szCs w:val="20"/>
        </w:rPr>
      </w:pPr>
    </w:p>
    <w:p w:rsidR="00460538" w:rsidRPr="00460538" w:rsidRDefault="00460538" w:rsidP="00460538">
      <w:pPr>
        <w:tabs>
          <w:tab w:val="left" w:pos="3510"/>
          <w:tab w:val="left" w:leader="dot" w:pos="5400"/>
        </w:tabs>
        <w:spacing w:line="480" w:lineRule="auto"/>
        <w:jc w:val="both"/>
        <w:rPr>
          <w:rFonts w:ascii="Arial" w:hAnsi="Arial" w:cs="Arial"/>
          <w:b/>
          <w:sz w:val="18"/>
          <w:szCs w:val="20"/>
        </w:rPr>
      </w:pPr>
    </w:p>
    <w:p w:rsidR="00460538" w:rsidRPr="00460538" w:rsidRDefault="00460538" w:rsidP="00460538">
      <w:pPr>
        <w:tabs>
          <w:tab w:val="left" w:pos="3510"/>
          <w:tab w:val="left" w:leader="dot" w:pos="5400"/>
        </w:tabs>
        <w:spacing w:line="360" w:lineRule="auto"/>
        <w:ind w:right="288"/>
        <w:jc w:val="both"/>
        <w:rPr>
          <w:rFonts w:cs="Arial"/>
          <w:b/>
          <w:i/>
          <w:szCs w:val="20"/>
          <w:u w:val="single"/>
        </w:rPr>
      </w:pPr>
      <w:r w:rsidRPr="00460538">
        <w:rPr>
          <w:rFonts w:cs="Arial"/>
          <w:b/>
          <w:i/>
          <w:szCs w:val="20"/>
          <w:u w:val="single"/>
        </w:rPr>
        <w:t>Deux conditions vont être à l’origine du TACO :</w:t>
      </w:r>
    </w:p>
    <w:p w:rsidR="00460538" w:rsidRPr="00460538" w:rsidRDefault="00460538" w:rsidP="00460538">
      <w:pPr>
        <w:numPr>
          <w:ilvl w:val="0"/>
          <w:numId w:val="15"/>
        </w:numPr>
        <w:tabs>
          <w:tab w:val="left" w:pos="3510"/>
          <w:tab w:val="left" w:leader="dot" w:pos="5400"/>
        </w:tabs>
        <w:spacing w:after="0" w:line="360" w:lineRule="auto"/>
        <w:ind w:left="709" w:right="288" w:hanging="283"/>
        <w:contextualSpacing/>
        <w:jc w:val="both"/>
        <w:rPr>
          <w:rFonts w:cs="Arial"/>
          <w:szCs w:val="20"/>
        </w:rPr>
      </w:pPr>
      <w:r w:rsidRPr="00460538">
        <w:rPr>
          <w:rFonts w:cs="Arial"/>
          <w:szCs w:val="20"/>
        </w:rPr>
        <w:t>Une augmentation rapide de la pression dans le capillaire pulmonaire du fait de la transfusion (vu précédemment du fait que le volume et la rapidité du PSL transfusé pouvaient avoir une influence sur l’élévation de la pression pulmonaire).</w:t>
      </w:r>
    </w:p>
    <w:p w:rsidR="00460538" w:rsidRPr="00460538" w:rsidRDefault="00460538" w:rsidP="00460538">
      <w:pPr>
        <w:tabs>
          <w:tab w:val="left" w:pos="3510"/>
          <w:tab w:val="left" w:leader="dot" w:pos="5400"/>
        </w:tabs>
        <w:spacing w:line="360" w:lineRule="auto"/>
        <w:ind w:left="709" w:right="288" w:hanging="283"/>
        <w:jc w:val="both"/>
        <w:rPr>
          <w:rFonts w:cs="Arial"/>
          <w:szCs w:val="20"/>
        </w:rPr>
      </w:pPr>
    </w:p>
    <w:p w:rsidR="00460538" w:rsidRPr="00460538" w:rsidRDefault="00460538" w:rsidP="00460538">
      <w:pPr>
        <w:numPr>
          <w:ilvl w:val="0"/>
          <w:numId w:val="15"/>
        </w:numPr>
        <w:tabs>
          <w:tab w:val="left" w:pos="3510"/>
          <w:tab w:val="left" w:leader="dot" w:pos="5400"/>
        </w:tabs>
        <w:spacing w:after="0" w:line="360" w:lineRule="auto"/>
        <w:ind w:left="709" w:right="288" w:hanging="283"/>
        <w:contextualSpacing/>
        <w:jc w:val="both"/>
        <w:rPr>
          <w:rFonts w:cs="Arial"/>
          <w:szCs w:val="20"/>
        </w:rPr>
      </w:pPr>
      <w:r w:rsidRPr="00460538">
        <w:rPr>
          <w:rFonts w:cs="Arial"/>
          <w:szCs w:val="20"/>
        </w:rPr>
        <w:t>Une élévation des pressions de remplissage du ventricule gauche qui se constate dans 3 situations :</w:t>
      </w:r>
    </w:p>
    <w:p w:rsidR="00460538" w:rsidRPr="00460538" w:rsidRDefault="00460538" w:rsidP="00460538">
      <w:pPr>
        <w:spacing w:after="200" w:line="276" w:lineRule="auto"/>
        <w:ind w:left="720"/>
        <w:contextualSpacing/>
        <w:rPr>
          <w:rFonts w:cs="Arial"/>
          <w:szCs w:val="20"/>
        </w:rPr>
      </w:pPr>
    </w:p>
    <w:p w:rsidR="00460538" w:rsidRPr="00460538" w:rsidRDefault="00460538" w:rsidP="00460538">
      <w:pPr>
        <w:numPr>
          <w:ilvl w:val="0"/>
          <w:numId w:val="16"/>
        </w:numPr>
        <w:tabs>
          <w:tab w:val="left" w:pos="3510"/>
          <w:tab w:val="left" w:leader="dot" w:pos="5400"/>
        </w:tabs>
        <w:spacing w:after="0" w:line="360" w:lineRule="auto"/>
        <w:ind w:left="1418" w:right="288" w:hanging="142"/>
        <w:contextualSpacing/>
        <w:jc w:val="both"/>
        <w:rPr>
          <w:rFonts w:cs="Arial"/>
          <w:szCs w:val="20"/>
        </w:rPr>
      </w:pPr>
      <w:r w:rsidRPr="00460538">
        <w:rPr>
          <w:rFonts w:cs="Arial"/>
          <w:szCs w:val="20"/>
        </w:rPr>
        <w:t>Dysfonction systolique ventriculaire gauche,</w:t>
      </w:r>
    </w:p>
    <w:p w:rsidR="00460538" w:rsidRPr="00460538" w:rsidRDefault="00460538" w:rsidP="00460538">
      <w:pPr>
        <w:numPr>
          <w:ilvl w:val="0"/>
          <w:numId w:val="16"/>
        </w:numPr>
        <w:tabs>
          <w:tab w:val="left" w:pos="3510"/>
          <w:tab w:val="left" w:leader="dot" w:pos="5400"/>
        </w:tabs>
        <w:spacing w:after="0" w:line="360" w:lineRule="auto"/>
        <w:ind w:left="1418" w:right="288" w:hanging="142"/>
        <w:contextualSpacing/>
        <w:jc w:val="both"/>
        <w:rPr>
          <w:rFonts w:cs="Arial"/>
          <w:szCs w:val="20"/>
        </w:rPr>
      </w:pPr>
      <w:r w:rsidRPr="00460538">
        <w:rPr>
          <w:rFonts w:cs="Arial"/>
          <w:szCs w:val="20"/>
        </w:rPr>
        <w:t>Valvulopathie,</w:t>
      </w:r>
    </w:p>
    <w:p w:rsidR="00460538" w:rsidRPr="00460538" w:rsidRDefault="00460538" w:rsidP="00460538">
      <w:pPr>
        <w:numPr>
          <w:ilvl w:val="0"/>
          <w:numId w:val="16"/>
        </w:numPr>
        <w:tabs>
          <w:tab w:val="left" w:pos="3510"/>
          <w:tab w:val="left" w:leader="dot" w:pos="5400"/>
        </w:tabs>
        <w:spacing w:after="0" w:line="360" w:lineRule="auto"/>
        <w:ind w:left="1418" w:right="288" w:hanging="142"/>
        <w:contextualSpacing/>
        <w:jc w:val="both"/>
        <w:rPr>
          <w:rFonts w:cs="Arial"/>
          <w:szCs w:val="20"/>
        </w:rPr>
      </w:pPr>
      <w:r w:rsidRPr="00460538">
        <w:rPr>
          <w:rFonts w:cs="Arial"/>
          <w:szCs w:val="20"/>
        </w:rPr>
        <w:t>Dysfonction diastolique ventriculaire gauche.</w:t>
      </w:r>
    </w:p>
    <w:p w:rsidR="00460538" w:rsidRPr="00460538" w:rsidRDefault="00460538" w:rsidP="00460538">
      <w:pPr>
        <w:tabs>
          <w:tab w:val="left" w:pos="3510"/>
          <w:tab w:val="left" w:leader="dot" w:pos="5400"/>
        </w:tabs>
        <w:spacing w:after="0" w:line="360" w:lineRule="auto"/>
        <w:ind w:left="2355" w:right="288"/>
        <w:contextualSpacing/>
        <w:jc w:val="both"/>
        <w:rPr>
          <w:rFonts w:cs="Arial"/>
          <w:szCs w:val="20"/>
        </w:rPr>
      </w:pPr>
    </w:p>
    <w:p w:rsidR="00460538" w:rsidRPr="00460538" w:rsidRDefault="00460538" w:rsidP="00460538">
      <w:pPr>
        <w:tabs>
          <w:tab w:val="left" w:pos="3510"/>
          <w:tab w:val="left" w:leader="dot" w:pos="5400"/>
        </w:tabs>
        <w:spacing w:line="360" w:lineRule="auto"/>
        <w:ind w:right="288"/>
        <w:jc w:val="both"/>
        <w:rPr>
          <w:rFonts w:cs="Arial"/>
          <w:szCs w:val="20"/>
        </w:rPr>
      </w:pPr>
      <w:r w:rsidRPr="00460538">
        <w:rPr>
          <w:rFonts w:cs="Arial"/>
          <w:szCs w:val="20"/>
        </w:rPr>
        <w:t xml:space="preserve">Les deux premières situations ne posent pas de problèmes car ce sont des pathologies chroniques rapportées dans les ATCDS (Antécédents) du patient (dysfonction ventriculaire gauche en rapport avec IDM (Infarctus du Myocarde) ou cardiomyopathie dilatée, valvulopathie (rétrécissement </w:t>
      </w:r>
      <w:proofErr w:type="spellStart"/>
      <w:proofErr w:type="gramStart"/>
      <w:r w:rsidRPr="00460538">
        <w:rPr>
          <w:rFonts w:cs="Arial"/>
          <w:szCs w:val="20"/>
        </w:rPr>
        <w:t>aortique..</w:t>
      </w:r>
      <w:proofErr w:type="gramEnd"/>
      <w:r w:rsidRPr="00460538">
        <w:rPr>
          <w:rFonts w:cs="Arial"/>
          <w:szCs w:val="20"/>
        </w:rPr>
        <w:t>mitral</w:t>
      </w:r>
      <w:proofErr w:type="spellEnd"/>
      <w:r w:rsidRPr="00460538">
        <w:rPr>
          <w:rFonts w:cs="Arial"/>
          <w:szCs w:val="20"/>
        </w:rPr>
        <w:t xml:space="preserve">). </w:t>
      </w:r>
    </w:p>
    <w:p w:rsidR="00460538" w:rsidRPr="00460538" w:rsidRDefault="00460538" w:rsidP="00460538">
      <w:pPr>
        <w:tabs>
          <w:tab w:val="left" w:pos="3510"/>
          <w:tab w:val="left" w:leader="dot" w:pos="5400"/>
        </w:tabs>
        <w:spacing w:line="360" w:lineRule="auto"/>
        <w:ind w:left="574" w:right="288"/>
        <w:jc w:val="both"/>
        <w:rPr>
          <w:rFonts w:cs="Arial"/>
          <w:szCs w:val="20"/>
        </w:rPr>
      </w:pPr>
    </w:p>
    <w:p w:rsidR="00460538" w:rsidRPr="00460538" w:rsidRDefault="00460538" w:rsidP="00460538">
      <w:pPr>
        <w:tabs>
          <w:tab w:val="left" w:pos="3510"/>
          <w:tab w:val="left" w:leader="dot" w:pos="5400"/>
        </w:tabs>
        <w:spacing w:line="360" w:lineRule="auto"/>
        <w:ind w:right="288"/>
        <w:jc w:val="both"/>
        <w:rPr>
          <w:rFonts w:cs="Arial"/>
          <w:szCs w:val="20"/>
        </w:rPr>
      </w:pPr>
      <w:r w:rsidRPr="00460538">
        <w:rPr>
          <w:rFonts w:cs="Arial"/>
          <w:szCs w:val="20"/>
        </w:rPr>
        <w:t>Par contre la dysfonction diastolique du ventricule gauche, qui est un trouble de la relaxation, est une évolution normale avec l’âge, elle est souvent asymptomatique et c’est lors de la transfusion qu’elle sera mise en évidence. Elle peut donc être totalement isolée (liée à l’âge) ou associée aux deux autres situations.</w:t>
      </w:r>
    </w:p>
    <w:p w:rsidR="00460538" w:rsidRPr="00460538" w:rsidRDefault="00460538" w:rsidP="00460538">
      <w:pPr>
        <w:tabs>
          <w:tab w:val="left" w:pos="3510"/>
          <w:tab w:val="left" w:leader="dot" w:pos="5400"/>
        </w:tabs>
        <w:spacing w:line="360" w:lineRule="auto"/>
        <w:ind w:left="574" w:right="288"/>
        <w:jc w:val="both"/>
        <w:rPr>
          <w:rFonts w:cs="Arial"/>
          <w:szCs w:val="20"/>
        </w:rPr>
      </w:pPr>
    </w:p>
    <w:p w:rsidR="00460538" w:rsidRPr="00460538" w:rsidRDefault="00460538" w:rsidP="00460538">
      <w:pPr>
        <w:tabs>
          <w:tab w:val="left" w:pos="3510"/>
          <w:tab w:val="left" w:leader="dot" w:pos="5400"/>
        </w:tabs>
        <w:spacing w:line="360" w:lineRule="auto"/>
        <w:ind w:right="288"/>
        <w:jc w:val="both"/>
        <w:rPr>
          <w:rFonts w:cs="Arial"/>
          <w:b/>
          <w:i/>
          <w:szCs w:val="20"/>
          <w:u w:val="single"/>
        </w:rPr>
      </w:pPr>
      <w:r w:rsidRPr="00460538">
        <w:rPr>
          <w:rFonts w:cs="Arial"/>
          <w:b/>
          <w:i/>
          <w:szCs w:val="20"/>
          <w:u w:val="single"/>
        </w:rPr>
        <w:t>De ce fait les 3 types de patients à risques de TACO sont :</w:t>
      </w:r>
    </w:p>
    <w:p w:rsidR="00460538" w:rsidRPr="00460538" w:rsidRDefault="00460538" w:rsidP="00460538">
      <w:pPr>
        <w:numPr>
          <w:ilvl w:val="0"/>
          <w:numId w:val="17"/>
        </w:numPr>
        <w:tabs>
          <w:tab w:val="left" w:pos="3510"/>
          <w:tab w:val="left" w:leader="dot" w:pos="5400"/>
        </w:tabs>
        <w:spacing w:after="0" w:line="360" w:lineRule="auto"/>
        <w:ind w:left="851" w:right="288" w:hanging="284"/>
        <w:contextualSpacing/>
        <w:jc w:val="both"/>
        <w:rPr>
          <w:rFonts w:cs="Arial"/>
          <w:b/>
          <w:color w:val="FF0000"/>
          <w:szCs w:val="20"/>
        </w:rPr>
      </w:pPr>
      <w:r w:rsidRPr="00460538">
        <w:rPr>
          <w:rFonts w:cs="Arial"/>
          <w:color w:val="FF0000"/>
          <w:szCs w:val="20"/>
        </w:rPr>
        <w:t>Les patients avec altération de la fonction systolique (Fraction éjection &lt;40%),</w:t>
      </w:r>
    </w:p>
    <w:p w:rsidR="00460538" w:rsidRPr="00460538" w:rsidRDefault="00460538" w:rsidP="00460538">
      <w:pPr>
        <w:numPr>
          <w:ilvl w:val="0"/>
          <w:numId w:val="17"/>
        </w:numPr>
        <w:tabs>
          <w:tab w:val="left" w:pos="3510"/>
          <w:tab w:val="left" w:leader="dot" w:pos="5400"/>
        </w:tabs>
        <w:spacing w:after="0" w:line="360" w:lineRule="auto"/>
        <w:ind w:left="851" w:right="288" w:hanging="284"/>
        <w:contextualSpacing/>
        <w:jc w:val="both"/>
        <w:rPr>
          <w:rFonts w:cs="Arial"/>
          <w:b/>
          <w:color w:val="FF0000"/>
          <w:szCs w:val="20"/>
        </w:rPr>
      </w:pPr>
      <w:r w:rsidRPr="00460538">
        <w:rPr>
          <w:rFonts w:cs="Arial"/>
          <w:color w:val="FF0000"/>
          <w:szCs w:val="20"/>
        </w:rPr>
        <w:t>Les patients ayant une valvulopathie,</w:t>
      </w:r>
    </w:p>
    <w:p w:rsidR="00460538" w:rsidRPr="00460538" w:rsidRDefault="00460538" w:rsidP="00460538">
      <w:pPr>
        <w:numPr>
          <w:ilvl w:val="0"/>
          <w:numId w:val="17"/>
        </w:numPr>
        <w:tabs>
          <w:tab w:val="left" w:pos="3510"/>
          <w:tab w:val="left" w:leader="dot" w:pos="5400"/>
        </w:tabs>
        <w:spacing w:after="0" w:line="360" w:lineRule="auto"/>
        <w:ind w:left="851" w:right="288" w:hanging="284"/>
        <w:contextualSpacing/>
        <w:jc w:val="both"/>
        <w:rPr>
          <w:rFonts w:cs="Arial"/>
          <w:b/>
          <w:color w:val="FF0000"/>
          <w:szCs w:val="20"/>
        </w:rPr>
      </w:pPr>
      <w:r w:rsidRPr="00460538">
        <w:rPr>
          <w:rFonts w:cs="Arial"/>
          <w:color w:val="FF0000"/>
          <w:szCs w:val="20"/>
        </w:rPr>
        <w:t>Les patients âgés de plus de 70 ans même asymptomatiques.</w:t>
      </w:r>
    </w:p>
    <w:p w:rsidR="00460538" w:rsidRPr="00460538" w:rsidRDefault="00460538" w:rsidP="00460538">
      <w:pPr>
        <w:spacing w:after="200" w:line="276" w:lineRule="auto"/>
        <w:ind w:left="2127" w:hanging="567"/>
        <w:rPr>
          <w:rFonts w:ascii="Calibri" w:eastAsia="Calibri" w:hAnsi="Calibri"/>
        </w:rPr>
      </w:pPr>
    </w:p>
    <w:p w:rsidR="00460538" w:rsidRPr="00460538" w:rsidRDefault="00460538" w:rsidP="00C51406">
      <w:pPr>
        <w:tabs>
          <w:tab w:val="left" w:pos="3510"/>
          <w:tab w:val="left" w:leader="dot" w:pos="5400"/>
        </w:tabs>
        <w:spacing w:line="360" w:lineRule="auto"/>
        <w:ind w:right="288"/>
        <w:rPr>
          <w:rFonts w:cs="Arial"/>
          <w:b/>
          <w:color w:val="FF0000"/>
          <w:szCs w:val="20"/>
        </w:rPr>
      </w:pPr>
      <w:r w:rsidRPr="00460538">
        <w:rPr>
          <w:rFonts w:cs="Arial"/>
          <w:color w:val="FF0000"/>
          <w:szCs w:val="20"/>
        </w:rPr>
        <w:t>Chez ces 3 types de patients, afin de limiter la survenue d’un TACO, il faudra que la transfusion soit fractionnée et lente. D’autant qu’il faudra être attentif à d’autres facteurs de risques associés comme l’hypertension artérielle, la fibrillation atriale, l’insuffisance rénale aigüe et chronique, le syndrome infectieux récent.</w:t>
      </w:r>
    </w:p>
    <w:p w:rsidR="00460538" w:rsidRPr="00460538" w:rsidRDefault="00460538" w:rsidP="00460538">
      <w:pPr>
        <w:tabs>
          <w:tab w:val="left" w:pos="3510"/>
          <w:tab w:val="left" w:leader="dot" w:pos="5400"/>
        </w:tabs>
        <w:spacing w:line="360" w:lineRule="auto"/>
        <w:ind w:left="291" w:right="288" w:firstLine="283"/>
        <w:jc w:val="both"/>
        <w:rPr>
          <w:rFonts w:cs="Arial"/>
          <w:szCs w:val="20"/>
        </w:rPr>
      </w:pPr>
    </w:p>
    <w:p w:rsidR="00460538" w:rsidRPr="00460538" w:rsidRDefault="00460538" w:rsidP="00C51406">
      <w:pPr>
        <w:tabs>
          <w:tab w:val="left" w:pos="3510"/>
          <w:tab w:val="left" w:leader="dot" w:pos="5400"/>
        </w:tabs>
        <w:spacing w:line="360" w:lineRule="auto"/>
        <w:ind w:right="288"/>
        <w:jc w:val="both"/>
        <w:rPr>
          <w:rFonts w:cs="Arial"/>
          <w:szCs w:val="20"/>
        </w:rPr>
      </w:pPr>
      <w:r w:rsidRPr="00460538">
        <w:rPr>
          <w:rFonts w:cs="Arial"/>
          <w:szCs w:val="20"/>
        </w:rPr>
        <w:t>Il n’y a aucune preuve de l’efficacité de diurétiques de l’anse (ex : furosémide) en prévention de l’œdème aigüe du poumon avant, pendant ou après une transfusion. Cette pratique pouvant d’ailleurs occasionner des effets indésirables, comme l’hypotension, l’insuffisance rénale aigüe ou une hypokaliémie. Elle n’est donc pas recommandée, contrairement au fractionnement et à la lenteur de la transfusion.</w:t>
      </w:r>
    </w:p>
    <w:p w:rsidR="00460538" w:rsidRPr="00460538" w:rsidRDefault="00460538" w:rsidP="00460538">
      <w:pPr>
        <w:tabs>
          <w:tab w:val="left" w:pos="3510"/>
          <w:tab w:val="left" w:leader="dot" w:pos="5400"/>
        </w:tabs>
        <w:spacing w:line="360" w:lineRule="auto"/>
        <w:ind w:left="291" w:right="288" w:firstLine="283"/>
        <w:jc w:val="both"/>
        <w:rPr>
          <w:rFonts w:cs="Arial"/>
          <w:i/>
          <w:sz w:val="24"/>
          <w:szCs w:val="20"/>
          <w:u w:val="single"/>
        </w:rPr>
      </w:pPr>
    </w:p>
    <w:p w:rsidR="00460538" w:rsidRPr="00460538" w:rsidRDefault="00460538" w:rsidP="00C51406">
      <w:pPr>
        <w:tabs>
          <w:tab w:val="left" w:pos="3510"/>
          <w:tab w:val="left" w:leader="dot" w:pos="5400"/>
        </w:tabs>
        <w:spacing w:after="0" w:line="480" w:lineRule="auto"/>
        <w:contextualSpacing/>
        <w:jc w:val="both"/>
        <w:rPr>
          <w:rFonts w:cs="Arial"/>
          <w:b/>
          <w:i/>
          <w:szCs w:val="20"/>
          <w:u w:val="single"/>
        </w:rPr>
      </w:pPr>
      <w:r w:rsidRPr="00460538">
        <w:rPr>
          <w:rFonts w:cs="Arial"/>
          <w:b/>
          <w:i/>
          <w:szCs w:val="20"/>
          <w:u w:val="single"/>
        </w:rPr>
        <w:t xml:space="preserve">Traitement de l’œdème du poumon : </w:t>
      </w:r>
    </w:p>
    <w:p w:rsidR="00460538" w:rsidRPr="00460538" w:rsidRDefault="00460538" w:rsidP="00C51406">
      <w:pPr>
        <w:tabs>
          <w:tab w:val="left" w:pos="3510"/>
          <w:tab w:val="left" w:leader="dot" w:pos="5400"/>
        </w:tabs>
        <w:spacing w:line="360" w:lineRule="auto"/>
        <w:ind w:right="288"/>
        <w:jc w:val="both"/>
        <w:rPr>
          <w:rFonts w:cs="Arial"/>
          <w:szCs w:val="20"/>
        </w:rPr>
      </w:pPr>
      <w:r w:rsidRPr="00460538">
        <w:rPr>
          <w:rFonts w:cs="Arial"/>
          <w:szCs w:val="20"/>
        </w:rPr>
        <w:t>Le traitement de l’OAP post-transfusionnel par surcharge est celui habituellement recommandé, associant de l’oxygène en cas d’hypoxie, des diurétiques de l’anse, des dérivés nitrés si la pression artérielle le permet.</w:t>
      </w:r>
    </w:p>
    <w:p w:rsidR="00460538" w:rsidRPr="00460538" w:rsidRDefault="00460538" w:rsidP="00460538">
      <w:pPr>
        <w:tabs>
          <w:tab w:val="left" w:pos="3510"/>
          <w:tab w:val="left" w:leader="dot" w:pos="5400"/>
        </w:tabs>
        <w:spacing w:line="360" w:lineRule="auto"/>
        <w:ind w:left="291" w:right="288" w:firstLine="283"/>
        <w:jc w:val="both"/>
        <w:rPr>
          <w:rFonts w:cs="Arial"/>
          <w:szCs w:val="20"/>
        </w:rPr>
      </w:pPr>
    </w:p>
    <w:p w:rsidR="00460538" w:rsidRPr="00460538" w:rsidRDefault="00460538" w:rsidP="00C51406">
      <w:pPr>
        <w:tabs>
          <w:tab w:val="left" w:pos="3510"/>
          <w:tab w:val="left" w:leader="dot" w:pos="5400"/>
        </w:tabs>
        <w:spacing w:after="0" w:line="360" w:lineRule="auto"/>
        <w:ind w:right="288"/>
        <w:contextualSpacing/>
        <w:jc w:val="both"/>
        <w:rPr>
          <w:rFonts w:cs="Arial"/>
          <w:b/>
          <w:i/>
          <w:color w:val="0070C0"/>
          <w:sz w:val="24"/>
          <w:szCs w:val="20"/>
          <w:u w:val="single"/>
        </w:rPr>
      </w:pPr>
      <w:r w:rsidRPr="00460538">
        <w:rPr>
          <w:rFonts w:cs="Arial"/>
          <w:b/>
          <w:i/>
          <w:color w:val="0070C0"/>
          <w:sz w:val="24"/>
          <w:szCs w:val="20"/>
          <w:u w:val="single"/>
        </w:rPr>
        <w:t>Transfusion plasma et plaquettes</w:t>
      </w:r>
    </w:p>
    <w:p w:rsidR="00460538" w:rsidRPr="00460538" w:rsidRDefault="00460538" w:rsidP="00460538">
      <w:pPr>
        <w:tabs>
          <w:tab w:val="left" w:pos="3510"/>
          <w:tab w:val="left" w:leader="dot" w:pos="5400"/>
        </w:tabs>
        <w:spacing w:line="360" w:lineRule="auto"/>
        <w:ind w:right="288"/>
        <w:jc w:val="both"/>
        <w:rPr>
          <w:rFonts w:cs="Arial"/>
          <w:color w:val="0070C0"/>
          <w:sz w:val="24"/>
          <w:szCs w:val="20"/>
          <w:u w:val="single"/>
        </w:rPr>
      </w:pPr>
      <w:r w:rsidRPr="00460538">
        <w:rPr>
          <w:rFonts w:cs="Arial"/>
          <w:szCs w:val="20"/>
        </w:rPr>
        <w:t xml:space="preserve">          La délivrance des PFC (Plasmas Frais Congelés) et des concentrés plaquettaires chez le sujet âgé sont en tous points conformes aux autres patients. Cependant, faire très attention au volume qui ajouté à des concentrés globulaires peut déclencher ou aggraver une surcharge volumique</w:t>
      </w:r>
    </w:p>
    <w:p w:rsidR="00460538" w:rsidRDefault="00460538" w:rsidP="00460538">
      <w:pPr>
        <w:spacing w:after="200" w:line="276" w:lineRule="auto"/>
        <w:ind w:left="2127" w:hanging="567"/>
        <w:rPr>
          <w:rFonts w:ascii="Calibri" w:eastAsia="Calibri" w:hAnsi="Calibri"/>
        </w:rPr>
      </w:pPr>
    </w:p>
    <w:p w:rsidR="00C51406" w:rsidRDefault="00C51406" w:rsidP="00460538">
      <w:pPr>
        <w:spacing w:after="200" w:line="276" w:lineRule="auto"/>
        <w:ind w:left="2127" w:hanging="567"/>
        <w:rPr>
          <w:rFonts w:ascii="Calibri" w:eastAsia="Calibri" w:hAnsi="Calibri"/>
        </w:rPr>
      </w:pPr>
    </w:p>
    <w:p w:rsidR="00C51406" w:rsidRDefault="00C51406" w:rsidP="00460538">
      <w:pPr>
        <w:spacing w:after="200" w:line="276" w:lineRule="auto"/>
        <w:ind w:left="2127" w:hanging="567"/>
        <w:rPr>
          <w:rFonts w:ascii="Calibri" w:eastAsia="Calibri" w:hAnsi="Calibri"/>
        </w:rPr>
      </w:pPr>
    </w:p>
    <w:p w:rsidR="00C51406" w:rsidRPr="00460538" w:rsidRDefault="00C51406" w:rsidP="00460538">
      <w:pPr>
        <w:spacing w:after="200" w:line="276" w:lineRule="auto"/>
        <w:ind w:left="2127" w:hanging="567"/>
        <w:rPr>
          <w:rFonts w:ascii="Calibri" w:eastAsia="Calibri" w:hAnsi="Calibri"/>
        </w:rPr>
      </w:pPr>
    </w:p>
    <w:p w:rsidR="00460538" w:rsidRPr="00460538" w:rsidRDefault="00460538" w:rsidP="00C51406">
      <w:pPr>
        <w:spacing w:after="200" w:line="276" w:lineRule="auto"/>
        <w:contextualSpacing/>
        <w:rPr>
          <w:rFonts w:ascii="Calibri" w:eastAsia="Calibri" w:hAnsi="Calibri"/>
          <w:b/>
          <w:i/>
          <w:color w:val="0070C0"/>
          <w:sz w:val="24"/>
          <w:u w:val="single"/>
        </w:rPr>
      </w:pPr>
      <w:r w:rsidRPr="00460538">
        <w:rPr>
          <w:rFonts w:ascii="Calibri" w:eastAsia="Calibri" w:hAnsi="Calibri"/>
          <w:b/>
          <w:i/>
          <w:color w:val="0070C0"/>
          <w:sz w:val="24"/>
          <w:u w:val="single"/>
        </w:rPr>
        <w:t>Conclusion</w:t>
      </w:r>
    </w:p>
    <w:p w:rsidR="00460538" w:rsidRPr="00460538" w:rsidRDefault="00460538" w:rsidP="00460538">
      <w:pPr>
        <w:spacing w:after="200" w:line="276" w:lineRule="auto"/>
        <w:ind w:left="1920"/>
        <w:contextualSpacing/>
        <w:rPr>
          <w:rFonts w:ascii="Calibri" w:eastAsia="Calibri" w:hAnsi="Calibri"/>
          <w:i/>
          <w:color w:val="7030A0"/>
          <w:sz w:val="28"/>
          <w:u w:val="single"/>
        </w:rPr>
      </w:pPr>
    </w:p>
    <w:p w:rsidR="00460538" w:rsidRPr="00460538" w:rsidRDefault="00460538" w:rsidP="00C51406">
      <w:pPr>
        <w:tabs>
          <w:tab w:val="left" w:pos="3510"/>
          <w:tab w:val="left" w:leader="dot" w:pos="5400"/>
        </w:tabs>
        <w:spacing w:after="0" w:line="360" w:lineRule="auto"/>
        <w:ind w:right="288"/>
        <w:contextualSpacing/>
        <w:jc w:val="both"/>
        <w:rPr>
          <w:rFonts w:cs="Arial"/>
          <w:szCs w:val="20"/>
        </w:rPr>
      </w:pPr>
      <w:r w:rsidRPr="00460538">
        <w:rPr>
          <w:rFonts w:cs="Arial"/>
          <w:szCs w:val="20"/>
        </w:rPr>
        <w:t xml:space="preserve">Il s’agit d’une population hétérogène et d’équilibre instable. Les signes cliniques d’intolérance sont souvent aspécifiques sur ce terrain. Il faut privilégier le fractionnement (1 CGR à la fois) et la transfusion lente (&lt;5ml/mn) cela en dehors d’un saignement très actif ou d’une situation d’urgence. Il faut une bonne évaluation du risque transfusionnel avec fractionnement et lenteur de transfusion chez les patients à risques. </w:t>
      </w:r>
    </w:p>
    <w:p w:rsidR="00460538" w:rsidRPr="00460538" w:rsidRDefault="00460538" w:rsidP="00C51406">
      <w:pPr>
        <w:tabs>
          <w:tab w:val="left" w:pos="3510"/>
          <w:tab w:val="left" w:leader="dot" w:pos="5400"/>
        </w:tabs>
        <w:spacing w:after="0" w:line="360" w:lineRule="auto"/>
        <w:ind w:right="288"/>
        <w:contextualSpacing/>
        <w:jc w:val="both"/>
        <w:rPr>
          <w:rFonts w:cs="Arial"/>
          <w:b/>
          <w:color w:val="FF0000"/>
          <w:szCs w:val="20"/>
        </w:rPr>
      </w:pPr>
      <w:r w:rsidRPr="00460538">
        <w:rPr>
          <w:rFonts w:cs="Arial"/>
          <w:color w:val="FF0000"/>
          <w:szCs w:val="20"/>
        </w:rPr>
        <w:t>Les patients avec altération de la fonction systolique, et/ou ayant une valvulopathie, et/ou âgés de plus de 70 ans, d’autant qu’il existe un ou des facteur(s) de risques surajoutés tel(s) que : HTA (Hypertension Artérielle), fibrillation atriale, IRA (Insuffisance Rénale Aigüe) ou IRC (Insuffisance Rénale Chronique), syndrome infectieux.</w:t>
      </w:r>
    </w:p>
    <w:p w:rsidR="00460538" w:rsidRPr="00460538" w:rsidRDefault="00460538" w:rsidP="00460538">
      <w:pPr>
        <w:tabs>
          <w:tab w:val="left" w:pos="3510"/>
          <w:tab w:val="left" w:leader="dot" w:pos="5400"/>
        </w:tabs>
        <w:spacing w:after="200" w:line="360" w:lineRule="auto"/>
        <w:ind w:left="720" w:right="288"/>
        <w:contextualSpacing/>
        <w:jc w:val="both"/>
        <w:rPr>
          <w:rFonts w:cs="Arial"/>
          <w:b/>
          <w:color w:val="FF0000"/>
          <w:szCs w:val="20"/>
        </w:rPr>
      </w:pPr>
    </w:p>
    <w:p w:rsidR="00460538" w:rsidRPr="00460538" w:rsidRDefault="00460538" w:rsidP="00460538">
      <w:pPr>
        <w:spacing w:after="200" w:line="276" w:lineRule="auto"/>
        <w:rPr>
          <w:rFonts w:eastAsia="Calibri"/>
          <w:sz w:val="20"/>
        </w:rPr>
      </w:pPr>
      <w:r w:rsidRPr="00460538">
        <w:rPr>
          <w:rFonts w:cs="Arial"/>
          <w:szCs w:val="20"/>
        </w:rPr>
        <w:t xml:space="preserve"> Tout cela repose sur une bonne identification des patients et des circonstances à risques, sur la maîtrise de la prescription et par une formation appropriée des équipes soignantes.</w:t>
      </w:r>
    </w:p>
    <w:p w:rsidR="00460538" w:rsidRDefault="00460538" w:rsidP="00460538">
      <w:pPr>
        <w:ind w:left="142" w:firstLine="284"/>
      </w:pPr>
    </w:p>
    <w:sectPr w:rsidR="00460538"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3F" w:rsidRDefault="0029033F" w:rsidP="00CE47D1">
      <w:pPr>
        <w:spacing w:after="0" w:line="240" w:lineRule="auto"/>
      </w:pPr>
      <w:r>
        <w:separator/>
      </w:r>
    </w:p>
  </w:endnote>
  <w:endnote w:type="continuationSeparator" w:id="0">
    <w:p w:rsidR="0029033F" w:rsidRDefault="0029033F"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CVL/E</w:t>
    </w:r>
    <w:r w:rsidR="00460538">
      <w:rPr>
        <w:rFonts w:ascii="Arial" w:hAnsi="Arial" w:cs="Arial"/>
        <w:i/>
        <w:color w:val="000080"/>
        <w:sz w:val="12"/>
        <w:szCs w:val="16"/>
      </w:rPr>
      <w:t>S/TRANSFUSION/PERSONNE-AGEE</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3F" w:rsidRDefault="0029033F" w:rsidP="00CE47D1">
      <w:pPr>
        <w:spacing w:after="0" w:line="240" w:lineRule="auto"/>
      </w:pPr>
      <w:r>
        <w:separator/>
      </w:r>
    </w:p>
  </w:footnote>
  <w:footnote w:type="continuationSeparator" w:id="0">
    <w:p w:rsidR="0029033F" w:rsidRDefault="0029033F"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4285508"/>
    <w:multiLevelType w:val="hybridMultilevel"/>
    <w:tmpl w:val="8CE6F91C"/>
    <w:lvl w:ilvl="0" w:tplc="68B44834">
      <w:start w:val="4"/>
      <w:numFmt w:val="bullet"/>
      <w:lvlText w:val="-"/>
      <w:lvlJc w:val="left"/>
      <w:pPr>
        <w:ind w:left="720" w:hanging="360"/>
      </w:pPr>
      <w:rPr>
        <w:rFonts w:ascii="Calibri" w:eastAsiaTheme="minorEastAsia" w:hAnsi="Calibri" w:cstheme="minorBidi" w:hint="default"/>
        <w:b/>
        <w:color w:val="E9597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 w15:restartNumberingAfterBreak="0">
    <w:nsid w:val="2D7D6015"/>
    <w:multiLevelType w:val="hybridMultilevel"/>
    <w:tmpl w:val="A4A609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EA246C6"/>
    <w:multiLevelType w:val="hybridMultilevel"/>
    <w:tmpl w:val="5184AB86"/>
    <w:lvl w:ilvl="0" w:tplc="A6AEE3B2">
      <w:start w:val="4"/>
      <w:numFmt w:val="bullet"/>
      <w:lvlText w:val="-"/>
      <w:lvlJc w:val="left"/>
      <w:pPr>
        <w:ind w:left="2355" w:hanging="360"/>
      </w:pPr>
      <w:rPr>
        <w:rFonts w:ascii="Calibri" w:eastAsiaTheme="minorEastAsia" w:hAnsi="Calibri" w:cstheme="minorBidi" w:hint="default"/>
      </w:rPr>
    </w:lvl>
    <w:lvl w:ilvl="1" w:tplc="040C0003" w:tentative="1">
      <w:start w:val="1"/>
      <w:numFmt w:val="bullet"/>
      <w:lvlText w:val="o"/>
      <w:lvlJc w:val="left"/>
      <w:pPr>
        <w:ind w:left="3075" w:hanging="360"/>
      </w:pPr>
      <w:rPr>
        <w:rFonts w:ascii="Courier New" w:hAnsi="Courier New" w:cs="Courier New" w:hint="default"/>
      </w:rPr>
    </w:lvl>
    <w:lvl w:ilvl="2" w:tplc="040C0005" w:tentative="1">
      <w:start w:val="1"/>
      <w:numFmt w:val="bullet"/>
      <w:lvlText w:val=""/>
      <w:lvlJc w:val="left"/>
      <w:pPr>
        <w:ind w:left="3795" w:hanging="360"/>
      </w:pPr>
      <w:rPr>
        <w:rFonts w:ascii="Wingdings" w:hAnsi="Wingdings" w:hint="default"/>
      </w:rPr>
    </w:lvl>
    <w:lvl w:ilvl="3" w:tplc="040C0001" w:tentative="1">
      <w:start w:val="1"/>
      <w:numFmt w:val="bullet"/>
      <w:lvlText w:val=""/>
      <w:lvlJc w:val="left"/>
      <w:pPr>
        <w:ind w:left="4515" w:hanging="360"/>
      </w:pPr>
      <w:rPr>
        <w:rFonts w:ascii="Symbol" w:hAnsi="Symbol" w:hint="default"/>
      </w:rPr>
    </w:lvl>
    <w:lvl w:ilvl="4" w:tplc="040C0003" w:tentative="1">
      <w:start w:val="1"/>
      <w:numFmt w:val="bullet"/>
      <w:lvlText w:val="o"/>
      <w:lvlJc w:val="left"/>
      <w:pPr>
        <w:ind w:left="5235" w:hanging="360"/>
      </w:pPr>
      <w:rPr>
        <w:rFonts w:ascii="Courier New" w:hAnsi="Courier New" w:cs="Courier New" w:hint="default"/>
      </w:rPr>
    </w:lvl>
    <w:lvl w:ilvl="5" w:tplc="040C0005" w:tentative="1">
      <w:start w:val="1"/>
      <w:numFmt w:val="bullet"/>
      <w:lvlText w:val=""/>
      <w:lvlJc w:val="left"/>
      <w:pPr>
        <w:ind w:left="5955" w:hanging="360"/>
      </w:pPr>
      <w:rPr>
        <w:rFonts w:ascii="Wingdings" w:hAnsi="Wingdings" w:hint="default"/>
      </w:rPr>
    </w:lvl>
    <w:lvl w:ilvl="6" w:tplc="040C0001" w:tentative="1">
      <w:start w:val="1"/>
      <w:numFmt w:val="bullet"/>
      <w:lvlText w:val=""/>
      <w:lvlJc w:val="left"/>
      <w:pPr>
        <w:ind w:left="6675" w:hanging="360"/>
      </w:pPr>
      <w:rPr>
        <w:rFonts w:ascii="Symbol" w:hAnsi="Symbol" w:hint="default"/>
      </w:rPr>
    </w:lvl>
    <w:lvl w:ilvl="7" w:tplc="040C0003" w:tentative="1">
      <w:start w:val="1"/>
      <w:numFmt w:val="bullet"/>
      <w:lvlText w:val="o"/>
      <w:lvlJc w:val="left"/>
      <w:pPr>
        <w:ind w:left="7395" w:hanging="360"/>
      </w:pPr>
      <w:rPr>
        <w:rFonts w:ascii="Courier New" w:hAnsi="Courier New" w:cs="Courier New" w:hint="default"/>
      </w:rPr>
    </w:lvl>
    <w:lvl w:ilvl="8" w:tplc="040C0005" w:tentative="1">
      <w:start w:val="1"/>
      <w:numFmt w:val="bullet"/>
      <w:lvlText w:val=""/>
      <w:lvlJc w:val="left"/>
      <w:pPr>
        <w:ind w:left="8115" w:hanging="360"/>
      </w:pPr>
      <w:rPr>
        <w:rFonts w:ascii="Wingdings" w:hAnsi="Wingdings" w:hint="default"/>
      </w:rPr>
    </w:lvl>
  </w:abstractNum>
  <w:abstractNum w:abstractNumId="6"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tentative="1">
      <w:start w:val="1"/>
      <w:numFmt w:val="bullet"/>
      <w:lvlText w:val="o"/>
      <w:lvlJc w:val="left"/>
      <w:pPr>
        <w:ind w:left="3887" w:hanging="360"/>
      </w:pPr>
      <w:rPr>
        <w:rFonts w:ascii="Courier New" w:hAnsi="Courier New" w:cs="Courier New" w:hint="default"/>
      </w:rPr>
    </w:lvl>
    <w:lvl w:ilvl="2" w:tplc="040C0005" w:tentative="1">
      <w:start w:val="1"/>
      <w:numFmt w:val="bullet"/>
      <w:lvlText w:val=""/>
      <w:lvlJc w:val="left"/>
      <w:pPr>
        <w:ind w:left="4607" w:hanging="360"/>
      </w:pPr>
      <w:rPr>
        <w:rFonts w:ascii="Wingdings" w:hAnsi="Wingdings" w:hint="default"/>
      </w:rPr>
    </w:lvl>
    <w:lvl w:ilvl="3" w:tplc="040C0001" w:tentative="1">
      <w:start w:val="1"/>
      <w:numFmt w:val="bullet"/>
      <w:lvlText w:val=""/>
      <w:lvlJc w:val="left"/>
      <w:pPr>
        <w:ind w:left="5327" w:hanging="360"/>
      </w:pPr>
      <w:rPr>
        <w:rFonts w:ascii="Symbol" w:hAnsi="Symbol" w:hint="default"/>
      </w:rPr>
    </w:lvl>
    <w:lvl w:ilvl="4" w:tplc="040C0003" w:tentative="1">
      <w:start w:val="1"/>
      <w:numFmt w:val="bullet"/>
      <w:lvlText w:val="o"/>
      <w:lvlJc w:val="left"/>
      <w:pPr>
        <w:ind w:left="6047" w:hanging="360"/>
      </w:pPr>
      <w:rPr>
        <w:rFonts w:ascii="Courier New" w:hAnsi="Courier New" w:cs="Courier New" w:hint="default"/>
      </w:rPr>
    </w:lvl>
    <w:lvl w:ilvl="5" w:tplc="040C0005" w:tentative="1">
      <w:start w:val="1"/>
      <w:numFmt w:val="bullet"/>
      <w:lvlText w:val=""/>
      <w:lvlJc w:val="left"/>
      <w:pPr>
        <w:ind w:left="6767" w:hanging="360"/>
      </w:pPr>
      <w:rPr>
        <w:rFonts w:ascii="Wingdings" w:hAnsi="Wingdings" w:hint="default"/>
      </w:rPr>
    </w:lvl>
    <w:lvl w:ilvl="6" w:tplc="040C0001" w:tentative="1">
      <w:start w:val="1"/>
      <w:numFmt w:val="bullet"/>
      <w:lvlText w:val=""/>
      <w:lvlJc w:val="left"/>
      <w:pPr>
        <w:ind w:left="7487" w:hanging="360"/>
      </w:pPr>
      <w:rPr>
        <w:rFonts w:ascii="Symbol" w:hAnsi="Symbol" w:hint="default"/>
      </w:rPr>
    </w:lvl>
    <w:lvl w:ilvl="7" w:tplc="040C0003" w:tentative="1">
      <w:start w:val="1"/>
      <w:numFmt w:val="bullet"/>
      <w:lvlText w:val="o"/>
      <w:lvlJc w:val="left"/>
      <w:pPr>
        <w:ind w:left="8207" w:hanging="360"/>
      </w:pPr>
      <w:rPr>
        <w:rFonts w:ascii="Courier New" w:hAnsi="Courier New" w:cs="Courier New" w:hint="default"/>
      </w:rPr>
    </w:lvl>
    <w:lvl w:ilvl="8" w:tplc="040C0005" w:tentative="1">
      <w:start w:val="1"/>
      <w:numFmt w:val="bullet"/>
      <w:lvlText w:val=""/>
      <w:lvlJc w:val="left"/>
      <w:pPr>
        <w:ind w:left="8927" w:hanging="360"/>
      </w:pPr>
      <w:rPr>
        <w:rFonts w:ascii="Wingdings" w:hAnsi="Wingdings" w:hint="default"/>
      </w:rPr>
    </w:lvl>
  </w:abstractNum>
  <w:abstractNum w:abstractNumId="7"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F26739"/>
    <w:multiLevelType w:val="hybridMultilevel"/>
    <w:tmpl w:val="D04EDF16"/>
    <w:lvl w:ilvl="0" w:tplc="CABE9498">
      <w:start w:val="1"/>
      <w:numFmt w:val="decimal"/>
      <w:lvlText w:val="%1)"/>
      <w:lvlJc w:val="left"/>
      <w:pPr>
        <w:ind w:left="2280" w:hanging="360"/>
      </w:pPr>
      <w:rPr>
        <w:rFonts w:hint="default"/>
        <w:sz w:val="28"/>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9"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D6B5F"/>
    <w:multiLevelType w:val="hybridMultilevel"/>
    <w:tmpl w:val="E26CF4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E384560"/>
    <w:multiLevelType w:val="hybridMultilevel"/>
    <w:tmpl w:val="EAFECA46"/>
    <w:lvl w:ilvl="0" w:tplc="040C0003">
      <w:start w:val="1"/>
      <w:numFmt w:val="bullet"/>
      <w:lvlText w:val="o"/>
      <w:lvlJc w:val="left"/>
      <w:pPr>
        <w:ind w:left="3000" w:hanging="360"/>
      </w:pPr>
      <w:rPr>
        <w:rFonts w:ascii="Courier New" w:hAnsi="Courier New" w:cs="Courier New"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abstractNum w:abstractNumId="15" w15:restartNumberingAfterBreak="0">
    <w:nsid w:val="5FB14D8E"/>
    <w:multiLevelType w:val="hybridMultilevel"/>
    <w:tmpl w:val="83AE3FEE"/>
    <w:lvl w:ilvl="0" w:tplc="040C0001">
      <w:start w:val="1"/>
      <w:numFmt w:val="bullet"/>
      <w:lvlText w:val=""/>
      <w:lvlJc w:val="left"/>
      <w:pPr>
        <w:ind w:left="3167" w:hanging="360"/>
      </w:pPr>
      <w:rPr>
        <w:rFonts w:ascii="Symbol" w:hAnsi="Symbol" w:hint="default"/>
      </w:rPr>
    </w:lvl>
    <w:lvl w:ilvl="1" w:tplc="040C0003" w:tentative="1">
      <w:start w:val="1"/>
      <w:numFmt w:val="bullet"/>
      <w:lvlText w:val="o"/>
      <w:lvlJc w:val="left"/>
      <w:pPr>
        <w:ind w:left="3887" w:hanging="360"/>
      </w:pPr>
      <w:rPr>
        <w:rFonts w:ascii="Courier New" w:hAnsi="Courier New" w:cs="Courier New" w:hint="default"/>
      </w:rPr>
    </w:lvl>
    <w:lvl w:ilvl="2" w:tplc="040C0005" w:tentative="1">
      <w:start w:val="1"/>
      <w:numFmt w:val="bullet"/>
      <w:lvlText w:val=""/>
      <w:lvlJc w:val="left"/>
      <w:pPr>
        <w:ind w:left="4607" w:hanging="360"/>
      </w:pPr>
      <w:rPr>
        <w:rFonts w:ascii="Wingdings" w:hAnsi="Wingdings" w:hint="default"/>
      </w:rPr>
    </w:lvl>
    <w:lvl w:ilvl="3" w:tplc="040C0001" w:tentative="1">
      <w:start w:val="1"/>
      <w:numFmt w:val="bullet"/>
      <w:lvlText w:val=""/>
      <w:lvlJc w:val="left"/>
      <w:pPr>
        <w:ind w:left="5327" w:hanging="360"/>
      </w:pPr>
      <w:rPr>
        <w:rFonts w:ascii="Symbol" w:hAnsi="Symbol" w:hint="default"/>
      </w:rPr>
    </w:lvl>
    <w:lvl w:ilvl="4" w:tplc="040C0003" w:tentative="1">
      <w:start w:val="1"/>
      <w:numFmt w:val="bullet"/>
      <w:lvlText w:val="o"/>
      <w:lvlJc w:val="left"/>
      <w:pPr>
        <w:ind w:left="6047" w:hanging="360"/>
      </w:pPr>
      <w:rPr>
        <w:rFonts w:ascii="Courier New" w:hAnsi="Courier New" w:cs="Courier New" w:hint="default"/>
      </w:rPr>
    </w:lvl>
    <w:lvl w:ilvl="5" w:tplc="040C0005" w:tentative="1">
      <w:start w:val="1"/>
      <w:numFmt w:val="bullet"/>
      <w:lvlText w:val=""/>
      <w:lvlJc w:val="left"/>
      <w:pPr>
        <w:ind w:left="6767" w:hanging="360"/>
      </w:pPr>
      <w:rPr>
        <w:rFonts w:ascii="Wingdings" w:hAnsi="Wingdings" w:hint="default"/>
      </w:rPr>
    </w:lvl>
    <w:lvl w:ilvl="6" w:tplc="040C0001" w:tentative="1">
      <w:start w:val="1"/>
      <w:numFmt w:val="bullet"/>
      <w:lvlText w:val=""/>
      <w:lvlJc w:val="left"/>
      <w:pPr>
        <w:ind w:left="7487" w:hanging="360"/>
      </w:pPr>
      <w:rPr>
        <w:rFonts w:ascii="Symbol" w:hAnsi="Symbol" w:hint="default"/>
      </w:rPr>
    </w:lvl>
    <w:lvl w:ilvl="7" w:tplc="040C0003" w:tentative="1">
      <w:start w:val="1"/>
      <w:numFmt w:val="bullet"/>
      <w:lvlText w:val="o"/>
      <w:lvlJc w:val="left"/>
      <w:pPr>
        <w:ind w:left="8207" w:hanging="360"/>
      </w:pPr>
      <w:rPr>
        <w:rFonts w:ascii="Courier New" w:hAnsi="Courier New" w:cs="Courier New" w:hint="default"/>
      </w:rPr>
    </w:lvl>
    <w:lvl w:ilvl="8" w:tplc="040C0005" w:tentative="1">
      <w:start w:val="1"/>
      <w:numFmt w:val="bullet"/>
      <w:lvlText w:val=""/>
      <w:lvlJc w:val="left"/>
      <w:pPr>
        <w:ind w:left="8927" w:hanging="360"/>
      </w:pPr>
      <w:rPr>
        <w:rFonts w:ascii="Wingdings" w:hAnsi="Wingdings" w:hint="default"/>
      </w:rPr>
    </w:lvl>
  </w:abstractNum>
  <w:abstractNum w:abstractNumId="16" w15:restartNumberingAfterBreak="0">
    <w:nsid w:val="659C4B57"/>
    <w:multiLevelType w:val="hybridMultilevel"/>
    <w:tmpl w:val="030EAB4C"/>
    <w:lvl w:ilvl="0" w:tplc="040C0003">
      <w:start w:val="1"/>
      <w:numFmt w:val="bullet"/>
      <w:lvlText w:val="o"/>
      <w:lvlJc w:val="left"/>
      <w:pPr>
        <w:ind w:left="3360" w:hanging="360"/>
      </w:pPr>
      <w:rPr>
        <w:rFonts w:ascii="Courier New" w:hAnsi="Courier New" w:cs="Courier New" w:hint="default"/>
      </w:rPr>
    </w:lvl>
    <w:lvl w:ilvl="1" w:tplc="040C0003" w:tentative="1">
      <w:start w:val="1"/>
      <w:numFmt w:val="bullet"/>
      <w:lvlText w:val="o"/>
      <w:lvlJc w:val="left"/>
      <w:pPr>
        <w:ind w:left="4080" w:hanging="360"/>
      </w:pPr>
      <w:rPr>
        <w:rFonts w:ascii="Courier New" w:hAnsi="Courier New" w:cs="Courier New" w:hint="default"/>
      </w:rPr>
    </w:lvl>
    <w:lvl w:ilvl="2" w:tplc="040C0005" w:tentative="1">
      <w:start w:val="1"/>
      <w:numFmt w:val="bullet"/>
      <w:lvlText w:val=""/>
      <w:lvlJc w:val="left"/>
      <w:pPr>
        <w:ind w:left="4800" w:hanging="360"/>
      </w:pPr>
      <w:rPr>
        <w:rFonts w:ascii="Wingdings" w:hAnsi="Wingdings" w:hint="default"/>
      </w:rPr>
    </w:lvl>
    <w:lvl w:ilvl="3" w:tplc="040C0001" w:tentative="1">
      <w:start w:val="1"/>
      <w:numFmt w:val="bullet"/>
      <w:lvlText w:val=""/>
      <w:lvlJc w:val="left"/>
      <w:pPr>
        <w:ind w:left="5520" w:hanging="360"/>
      </w:pPr>
      <w:rPr>
        <w:rFonts w:ascii="Symbol" w:hAnsi="Symbol" w:hint="default"/>
      </w:rPr>
    </w:lvl>
    <w:lvl w:ilvl="4" w:tplc="040C0003" w:tentative="1">
      <w:start w:val="1"/>
      <w:numFmt w:val="bullet"/>
      <w:lvlText w:val="o"/>
      <w:lvlJc w:val="left"/>
      <w:pPr>
        <w:ind w:left="6240" w:hanging="360"/>
      </w:pPr>
      <w:rPr>
        <w:rFonts w:ascii="Courier New" w:hAnsi="Courier New" w:cs="Courier New" w:hint="default"/>
      </w:rPr>
    </w:lvl>
    <w:lvl w:ilvl="5" w:tplc="040C0005" w:tentative="1">
      <w:start w:val="1"/>
      <w:numFmt w:val="bullet"/>
      <w:lvlText w:val=""/>
      <w:lvlJc w:val="left"/>
      <w:pPr>
        <w:ind w:left="6960" w:hanging="360"/>
      </w:pPr>
      <w:rPr>
        <w:rFonts w:ascii="Wingdings" w:hAnsi="Wingdings" w:hint="default"/>
      </w:rPr>
    </w:lvl>
    <w:lvl w:ilvl="6" w:tplc="040C0001" w:tentative="1">
      <w:start w:val="1"/>
      <w:numFmt w:val="bullet"/>
      <w:lvlText w:val=""/>
      <w:lvlJc w:val="left"/>
      <w:pPr>
        <w:ind w:left="7680" w:hanging="360"/>
      </w:pPr>
      <w:rPr>
        <w:rFonts w:ascii="Symbol" w:hAnsi="Symbol" w:hint="default"/>
      </w:rPr>
    </w:lvl>
    <w:lvl w:ilvl="7" w:tplc="040C0003" w:tentative="1">
      <w:start w:val="1"/>
      <w:numFmt w:val="bullet"/>
      <w:lvlText w:val="o"/>
      <w:lvlJc w:val="left"/>
      <w:pPr>
        <w:ind w:left="8400" w:hanging="360"/>
      </w:pPr>
      <w:rPr>
        <w:rFonts w:ascii="Courier New" w:hAnsi="Courier New" w:cs="Courier New" w:hint="default"/>
      </w:rPr>
    </w:lvl>
    <w:lvl w:ilvl="8" w:tplc="040C0005" w:tentative="1">
      <w:start w:val="1"/>
      <w:numFmt w:val="bullet"/>
      <w:lvlText w:val=""/>
      <w:lvlJc w:val="left"/>
      <w:pPr>
        <w:ind w:left="9120" w:hanging="360"/>
      </w:pPr>
      <w:rPr>
        <w:rFonts w:ascii="Wingdings" w:hAnsi="Wingdings" w:hint="default"/>
      </w:rPr>
    </w:lvl>
  </w:abstractNum>
  <w:abstractNum w:abstractNumId="17"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C07410"/>
    <w:multiLevelType w:val="hybridMultilevel"/>
    <w:tmpl w:val="ED7E86BA"/>
    <w:lvl w:ilvl="0" w:tplc="948C2EA6">
      <w:start w:val="2"/>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10"/>
  </w:num>
  <w:num w:numId="5">
    <w:abstractNumId w:val="13"/>
  </w:num>
  <w:num w:numId="6">
    <w:abstractNumId w:val="1"/>
  </w:num>
  <w:num w:numId="7">
    <w:abstractNumId w:val="7"/>
  </w:num>
  <w:num w:numId="8">
    <w:abstractNumId w:val="3"/>
  </w:num>
  <w:num w:numId="9">
    <w:abstractNumId w:val="11"/>
  </w:num>
  <w:num w:numId="10">
    <w:abstractNumId w:val="14"/>
  </w:num>
  <w:num w:numId="11">
    <w:abstractNumId w:val="6"/>
  </w:num>
  <w:num w:numId="12">
    <w:abstractNumId w:val="8"/>
  </w:num>
  <w:num w:numId="13">
    <w:abstractNumId w:val="2"/>
  </w:num>
  <w:num w:numId="14">
    <w:abstractNumId w:val="18"/>
  </w:num>
  <w:num w:numId="15">
    <w:abstractNumId w:val="4"/>
  </w:num>
  <w:num w:numId="16">
    <w:abstractNumId w:val="5"/>
  </w:num>
  <w:num w:numId="17">
    <w:abstractNumId w:val="12"/>
  </w:num>
  <w:num w:numId="18">
    <w:abstractNumId w:val="16"/>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4394F"/>
    <w:rsid w:val="00186CD5"/>
    <w:rsid w:val="001F6AB9"/>
    <w:rsid w:val="0025104A"/>
    <w:rsid w:val="00252CC6"/>
    <w:rsid w:val="00273F0A"/>
    <w:rsid w:val="0029033F"/>
    <w:rsid w:val="002A07E7"/>
    <w:rsid w:val="002A623E"/>
    <w:rsid w:val="0033287C"/>
    <w:rsid w:val="0034566B"/>
    <w:rsid w:val="003E1BD2"/>
    <w:rsid w:val="00460538"/>
    <w:rsid w:val="00470594"/>
    <w:rsid w:val="00526625"/>
    <w:rsid w:val="00554F14"/>
    <w:rsid w:val="005B050B"/>
    <w:rsid w:val="0061450D"/>
    <w:rsid w:val="006754D0"/>
    <w:rsid w:val="00734F1B"/>
    <w:rsid w:val="007C1278"/>
    <w:rsid w:val="008F0DC7"/>
    <w:rsid w:val="00936547"/>
    <w:rsid w:val="009E7C8D"/>
    <w:rsid w:val="00A80F10"/>
    <w:rsid w:val="00B432ED"/>
    <w:rsid w:val="00B7265B"/>
    <w:rsid w:val="00BB44EF"/>
    <w:rsid w:val="00BC63D7"/>
    <w:rsid w:val="00C331EA"/>
    <w:rsid w:val="00C51406"/>
    <w:rsid w:val="00C80EFE"/>
    <w:rsid w:val="00CE47D1"/>
    <w:rsid w:val="00D34273"/>
    <w:rsid w:val="00D806C2"/>
    <w:rsid w:val="00DC36D8"/>
    <w:rsid w:val="00DD3570"/>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1365</Words>
  <Characters>7512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26</cp:revision>
  <dcterms:created xsi:type="dcterms:W3CDTF">2020-10-16T12:52:00Z</dcterms:created>
  <dcterms:modified xsi:type="dcterms:W3CDTF">2022-01-17T08:03:00Z</dcterms:modified>
</cp:coreProperties>
</file>