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8B06CC">
            <w:r>
              <w:rPr>
                <w:sz w:val="24"/>
              </w:rPr>
              <w:t>HVCVL/HAD/TRANSFUSION/</w:t>
            </w:r>
            <w:r w:rsidR="008B06CC">
              <w:rPr>
                <w:sz w:val="24"/>
              </w:rPr>
              <w:t>ROLE-RESPONSABILITES-INTERVENANTS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8B06CC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Rôle et responsabilités des différents intervenants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8B06CC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Rôle et responsabilités des différents intervenants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8B06CC" w:rsidP="008B06C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outlineLvl w:val="0"/>
      </w:pPr>
      <w:r w:rsidRPr="008B06CC">
        <w:t>Cette procédure a pour objet de définir les rôles et responsabilités des différents intervenants dans le cadre de l’activité transfusionnelle à l’HAD</w:t>
      </w:r>
    </w:p>
    <w:p w:rsidR="00CA2275" w:rsidRDefault="00CA2275">
      <w:pPr>
        <w:rPr>
          <w:b/>
          <w:i/>
          <w:u w:val="single"/>
        </w:rPr>
      </w:pPr>
    </w:p>
    <w:p w:rsidR="00781A0B" w:rsidRDefault="00781A0B" w:rsidP="00781A0B">
      <w:pPr>
        <w:spacing w:after="0"/>
      </w:pPr>
      <w:r w:rsidRPr="008B06CC">
        <w:rPr>
          <w:b/>
          <w:i/>
          <w:u w:val="single"/>
        </w:rPr>
        <w:t>Domaine d’application</w:t>
      </w:r>
      <w:r>
        <w:t> :</w:t>
      </w:r>
    </w:p>
    <w:p w:rsidR="00781A0B" w:rsidRDefault="00781A0B" w:rsidP="00781A0B">
      <w:pPr>
        <w:spacing w:after="0"/>
      </w:pPr>
    </w:p>
    <w:p w:rsidR="00781A0B" w:rsidRDefault="00781A0B" w:rsidP="00781A0B">
      <w:r>
        <w:t xml:space="preserve">             </w:t>
      </w:r>
      <w:r w:rsidRPr="008B06CC">
        <w:t xml:space="preserve">HAD </w:t>
      </w:r>
    </w:p>
    <w:p w:rsidR="00CA2275" w:rsidRDefault="00CA2275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C15602" w:rsidRDefault="008B06CC" w:rsidP="00C15602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>Loi n° 93-5 du 4 janvier 1993 relative à la sécurité en matière de transfusion sanguine et de médicament (création de l’hémovigilance)</w:t>
      </w:r>
      <w:r w:rsidR="00CA2275">
        <w:t xml:space="preserve"> </w:t>
      </w:r>
    </w:p>
    <w:p w:rsidR="00C15602" w:rsidRPr="00C15602" w:rsidRDefault="00C15602" w:rsidP="00C15602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  <w:rPr>
          <w:rFonts w:cstheme="minorHAnsi"/>
        </w:rPr>
      </w:pPr>
      <w:r w:rsidRPr="00C15602">
        <w:rPr>
          <w:rFonts w:cstheme="minorHAnsi"/>
        </w:rPr>
        <w:t>Décision du 10 mars 2020 définissant les principes de bonnes pratiques prévues à l’article 1222-12 du CSP</w:t>
      </w:r>
    </w:p>
    <w:p w:rsidR="00CA2275" w:rsidRDefault="008B06CC" w:rsidP="0051004F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 w:rsidR="001F604D">
        <w:t>–</w:t>
      </w:r>
      <w:r w:rsidRPr="008B06CC">
        <w:t xml:space="preserve"> </w:t>
      </w:r>
      <w:r w:rsidR="001F604D">
        <w:t>Version actualisée 2021</w:t>
      </w:r>
    </w:p>
    <w:p w:rsidR="00781A0B" w:rsidRDefault="00781A0B" w:rsidP="00781A0B">
      <w:pPr>
        <w:rPr>
          <w:b/>
          <w:i/>
          <w:u w:val="single"/>
        </w:rPr>
      </w:pPr>
    </w:p>
    <w:p w:rsidR="00781A0B" w:rsidRDefault="00781A0B" w:rsidP="00781A0B">
      <w:r w:rsidRPr="00781A0B">
        <w:rPr>
          <w:b/>
          <w:i/>
          <w:u w:val="single"/>
        </w:rPr>
        <w:t>Définitions et abréviations</w:t>
      </w:r>
      <w:r>
        <w:t> :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ANSM : Agence Nationale de Sécurité du médicament et des produits de santé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CGR : Concentré de Globules Rouges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CSP : Code de la Santé Publique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CSTH : Comité de Sécurité Transfusionnelle et d'Hémovigilance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DASRI : Déchets d’Activité de Soins à Risque Infectieux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DPI : Dossier Patient Informatisé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EFS : Etablissement Français du Sang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FDN : Fiche de Délivrance Nominative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EIR : Evènement Indésirable Receveur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HAD : Hospitalisation A Domicile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IDEL : Infirmiers Diplômés d’Etat Libéraux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MP 18 : Mode de prise en charge 18 (transfusion sanguine)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PSL : Produit Sanguin Labile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PEC : prise en charge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SFTS : Société Française de Transfusion sanguine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SFVTT : Société Française de Vigilance et de Thérapeutique Transfusionnelle</w:t>
      </w:r>
    </w:p>
    <w:p w:rsidR="00781A0B" w:rsidRDefault="00781A0B" w:rsidP="00781A0B">
      <w:pPr>
        <w:pStyle w:val="Paragraphedeliste"/>
        <w:numPr>
          <w:ilvl w:val="0"/>
          <w:numId w:val="13"/>
        </w:numPr>
        <w:spacing w:after="0"/>
        <w:ind w:left="709"/>
      </w:pPr>
      <w:r>
        <w:t>VAD : Visite A Domicile</w:t>
      </w:r>
    </w:p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781A0B" w:rsidRDefault="00781A0B"/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781A0B" w:rsidRPr="00554F14" w:rsidRDefault="00781A0B" w:rsidP="00781A0B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8B06CC" w:rsidRPr="00781A0B" w:rsidRDefault="008B06CC" w:rsidP="00781A0B">
      <w:pPr>
        <w:ind w:right="572"/>
        <w:jc w:val="both"/>
        <w:rPr>
          <w:rFonts w:cstheme="minorHAnsi"/>
          <w:b/>
          <w:bCs/>
          <w:i/>
          <w:u w:val="single"/>
        </w:rPr>
      </w:pPr>
      <w:r w:rsidRPr="00781A0B">
        <w:rPr>
          <w:rFonts w:cstheme="minorHAnsi"/>
          <w:b/>
          <w:bCs/>
          <w:i/>
          <w:u w:val="single"/>
        </w:rPr>
        <w:t>O</w:t>
      </w:r>
      <w:r w:rsidR="00781A0B" w:rsidRPr="00781A0B">
        <w:rPr>
          <w:rFonts w:cstheme="minorHAnsi"/>
          <w:b/>
          <w:bCs/>
          <w:i/>
          <w:u w:val="single"/>
        </w:rPr>
        <w:t>rganisation :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bCs/>
          <w:u w:val="single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t>IDE de liaison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Réalise l’inclusion du patient en lien avec le médecin coordonnateur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Récupère les éléments clinique</w:t>
      </w:r>
      <w:r>
        <w:rPr>
          <w:rFonts w:cstheme="minorHAnsi"/>
        </w:rPr>
        <w:t>s</w:t>
      </w:r>
      <w:r w:rsidRPr="008B06CC">
        <w:rPr>
          <w:rFonts w:cstheme="minorHAnsi"/>
        </w:rPr>
        <w:t xml:space="preserve"> et biologique</w:t>
      </w:r>
      <w:r>
        <w:rPr>
          <w:rFonts w:cstheme="minorHAnsi"/>
        </w:rPr>
        <w:t>s</w:t>
      </w:r>
      <w:r w:rsidRPr="008B06CC">
        <w:rPr>
          <w:rFonts w:cstheme="minorHAnsi"/>
        </w:rPr>
        <w:t xml:space="preserve"> du patient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Remet les documents d’information au patient et aux aidants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t>Médecin traitant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Pose l’indication de la transfusion sur des données cliniques et biologiques de la nécessité de transfuser un patient en CGR</w:t>
      </w:r>
      <w:r w:rsidR="00781D5A">
        <w:rPr>
          <w:rFonts w:cstheme="minorHAnsi"/>
        </w:rPr>
        <w:t>, plasma ou plaquette</w:t>
      </w:r>
      <w:r w:rsidRPr="008B06CC">
        <w:rPr>
          <w:rFonts w:cstheme="minorHAnsi"/>
        </w:rPr>
        <w:t xml:space="preserve"> en HAD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S’il ne pose pas l’indication, il a accepté la PEC transfusionnel</w:t>
      </w:r>
      <w:r>
        <w:rPr>
          <w:rFonts w:cstheme="minorHAnsi"/>
        </w:rPr>
        <w:t>le</w:t>
      </w:r>
      <w:r w:rsidRPr="008B06CC">
        <w:rPr>
          <w:rFonts w:cstheme="minorHAnsi"/>
        </w:rPr>
        <w:t xml:space="preserve"> d’un de ses patients en HAD 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Il s’engage par écrit (Lettre d’engagement du médecin traitant ci-jointe) à être joignable à tout moment pendant la transfusion et dans les deux heures qui s</w:t>
      </w:r>
      <w:r>
        <w:rPr>
          <w:rFonts w:cstheme="minorHAnsi"/>
        </w:rPr>
        <w:t>uivent la fin de la transfusion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u w:val="single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lastRenderedPageBreak/>
        <w:t>Médecin coordonnateur de l’HAD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Valide l’inclusion du patient pour un séjour MP18, en lien avec le médecin </w:t>
      </w:r>
      <w:proofErr w:type="spellStart"/>
      <w:r w:rsidRPr="008B06CC">
        <w:rPr>
          <w:rFonts w:cstheme="minorHAnsi"/>
        </w:rPr>
        <w:t>hémovigilant</w:t>
      </w:r>
      <w:proofErr w:type="spellEnd"/>
      <w:r w:rsidRPr="008B06CC">
        <w:rPr>
          <w:rFonts w:cstheme="minorHAnsi"/>
        </w:rPr>
        <w:t xml:space="preserve"> de l’H</w:t>
      </w:r>
      <w:r>
        <w:rPr>
          <w:rFonts w:cstheme="minorHAnsi"/>
        </w:rPr>
        <w:t>AD et du site EFS si nécessaire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Vérifie que les patients et l’aidant ont bien compris les documents d’information</w:t>
      </w:r>
      <w:r>
        <w:rPr>
          <w:rFonts w:cstheme="minorHAnsi"/>
        </w:rPr>
        <w:t>s</w:t>
      </w:r>
      <w:r w:rsidRPr="008B06CC">
        <w:rPr>
          <w:rFonts w:cstheme="minorHAnsi"/>
        </w:rPr>
        <w:t xml:space="preserve"> (appel téléphonique ou VAD). Si VAD il fait signer le patient et l’aidant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Prescrit les explorations complémentaires IH si nécessaire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Formalise la prescription </w:t>
      </w:r>
      <w:r w:rsidR="00781D5A">
        <w:rPr>
          <w:rFonts w:cstheme="minorHAnsi"/>
        </w:rPr>
        <w:t>du PSL</w:t>
      </w:r>
      <w:r w:rsidRPr="008B06CC">
        <w:rPr>
          <w:rFonts w:cstheme="minorHAnsi"/>
        </w:rPr>
        <w:t xml:space="preserve"> selon les recommandations de bonnes pratiques professionnelles en vigueur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Assure le suivi de l’acte transfusionnel en lien avec les IDE et le médecin traitant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Est joignable par l’IDE réalisant l’acte pendant toute la durée de la transfusion et dans les deux heures qui s</w:t>
      </w:r>
      <w:r>
        <w:rPr>
          <w:rFonts w:cstheme="minorHAnsi"/>
        </w:rPr>
        <w:t>uivent la fin de la transfusion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Est l’interlocuteur privilégié de l’IDE réalisant l’acte et du médecin traitant du patient en cas d’EIR</w:t>
      </w:r>
    </w:p>
    <w:p w:rsid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Vérifie l’exhaustivité de la traçabilité de l’acte et du PSL dans le Système d’Information Hospitalier</w:t>
      </w:r>
    </w:p>
    <w:p w:rsidR="008B06CC" w:rsidRDefault="008B06CC" w:rsidP="008B06CC">
      <w:pPr>
        <w:ind w:left="1080" w:right="572"/>
        <w:jc w:val="both"/>
        <w:rPr>
          <w:rFonts w:cstheme="minorHAnsi"/>
        </w:rPr>
      </w:pPr>
    </w:p>
    <w:p w:rsidR="00781A0B" w:rsidRPr="008B06CC" w:rsidRDefault="00781A0B" w:rsidP="008B06CC">
      <w:pPr>
        <w:ind w:left="1080" w:right="572"/>
        <w:jc w:val="both"/>
        <w:rPr>
          <w:rFonts w:cstheme="minorHAnsi"/>
        </w:rPr>
      </w:pPr>
    </w:p>
    <w:p w:rsidR="008B06CC" w:rsidRPr="003A727F" w:rsidRDefault="00D7183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>
        <w:rPr>
          <w:rFonts w:cstheme="minorHAnsi"/>
          <w:b/>
        </w:rPr>
        <w:t>IDE</w:t>
      </w:r>
      <w:r w:rsidR="008B06CC" w:rsidRPr="003A727F">
        <w:rPr>
          <w:rFonts w:cstheme="minorHAnsi"/>
          <w:b/>
        </w:rPr>
        <w:t>L et IDE de l’HAD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Programme la prise en charge MP 18 en lien avec les différents intervenants :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Médecin coordonnateur de l’HAD 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Le médecin traitant 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>L’EFS fournisseur du PSL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  <w:b/>
        </w:rPr>
      </w:pPr>
      <w:r w:rsidRPr="008B06CC">
        <w:rPr>
          <w:rFonts w:cstheme="minorHAnsi"/>
          <w:b/>
        </w:rPr>
        <w:t>L’IDE libéral habilité si nécessaire*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</w:rPr>
      </w:pP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i/>
        </w:rPr>
      </w:pPr>
      <w:r w:rsidRPr="008B06CC">
        <w:rPr>
          <w:rFonts w:cstheme="minorHAnsi"/>
          <w:b/>
          <w:i/>
        </w:rPr>
        <w:t>* Si un IDE libéral prend en charge la réalisation de transfusion dans le cadre de l’HAD il aura au préalable été ha</w:t>
      </w:r>
      <w:r>
        <w:rPr>
          <w:rFonts w:cstheme="minorHAnsi"/>
          <w:b/>
          <w:i/>
        </w:rPr>
        <w:t xml:space="preserve">bilité par l’HAD qui lui </w:t>
      </w:r>
      <w:r w:rsidR="00D7183C">
        <w:rPr>
          <w:rFonts w:cstheme="minorHAnsi"/>
          <w:b/>
          <w:i/>
        </w:rPr>
        <w:t>délègue</w:t>
      </w:r>
      <w:r w:rsidRPr="008B06CC">
        <w:rPr>
          <w:rFonts w:cstheme="minorHAnsi"/>
          <w:b/>
          <w:i/>
        </w:rPr>
        <w:t xml:space="preserve"> cet acte de soin 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Vérifie que l’ensemble des documents nécessaire</w:t>
      </w:r>
      <w:r>
        <w:rPr>
          <w:rFonts w:cstheme="minorHAnsi"/>
        </w:rPr>
        <w:t>s</w:t>
      </w:r>
      <w:r w:rsidRPr="008B06CC">
        <w:rPr>
          <w:rFonts w:cstheme="minorHAnsi"/>
        </w:rPr>
        <w:t xml:space="preserve"> à la PEC du patient ont été récupérés dans le DPI :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>Document IH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>Prescription PSL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Autorisation de soins signée du patient et engagement des aidants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>Lettre d’engagement du médecin traitant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Lors de la sortie du patient sur séjour MP 18 :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>Collecte des DASRI</w:t>
      </w:r>
    </w:p>
    <w:p w:rsidR="008B06CC" w:rsidRPr="008B06CC" w:rsidRDefault="008B06CC" w:rsidP="008B06CC">
      <w:pPr>
        <w:numPr>
          <w:ilvl w:val="2"/>
          <w:numId w:val="26"/>
        </w:numPr>
        <w:spacing w:after="0"/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Retour de la FDN remplie vers l’EFS (traçabilité des PSL) 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t>Site EFS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Le médecin </w:t>
      </w:r>
      <w:proofErr w:type="spellStart"/>
      <w:r w:rsidRPr="008B06CC">
        <w:rPr>
          <w:rFonts w:cstheme="minorHAnsi"/>
        </w:rPr>
        <w:t>hémovigilant</w:t>
      </w:r>
      <w:proofErr w:type="spellEnd"/>
      <w:r w:rsidRPr="008B06CC">
        <w:rPr>
          <w:rFonts w:cstheme="minorHAnsi"/>
        </w:rPr>
        <w:t xml:space="preserve"> du site valide l’inclusion du patient pour un séjour MP18, en lien avec le médecin </w:t>
      </w:r>
      <w:proofErr w:type="spellStart"/>
      <w:r w:rsidRPr="008B06CC">
        <w:rPr>
          <w:rFonts w:cstheme="minorHAnsi"/>
        </w:rPr>
        <w:t>hémo</w:t>
      </w:r>
      <w:r w:rsidR="003A727F">
        <w:rPr>
          <w:rFonts w:cstheme="minorHAnsi"/>
        </w:rPr>
        <w:t>vigilant</w:t>
      </w:r>
      <w:proofErr w:type="spellEnd"/>
      <w:r w:rsidR="003A727F">
        <w:rPr>
          <w:rFonts w:cstheme="minorHAnsi"/>
        </w:rPr>
        <w:t xml:space="preserve"> de l’HAD si nécessaire</w:t>
      </w:r>
    </w:p>
    <w:p w:rsid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Délivre le PSL prescrit en se conformant aux éventuels protocoles transfusionnels recommandés pour le patient</w:t>
      </w:r>
    </w:p>
    <w:p w:rsidR="003A727F" w:rsidRDefault="003A727F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Assure le colisage du PSL délivré au transporteur agréé</w:t>
      </w:r>
    </w:p>
    <w:p w:rsidR="008B06CC" w:rsidRPr="003A727F" w:rsidRDefault="008B06CC" w:rsidP="003A727F">
      <w:pPr>
        <w:pStyle w:val="Paragraphedeliste"/>
        <w:numPr>
          <w:ilvl w:val="0"/>
          <w:numId w:val="27"/>
        </w:numPr>
        <w:tabs>
          <w:tab w:val="left" w:pos="2500"/>
        </w:tabs>
        <w:ind w:right="572"/>
        <w:jc w:val="both"/>
        <w:rPr>
          <w:rFonts w:cstheme="minorHAnsi"/>
        </w:rPr>
      </w:pPr>
      <w:r w:rsidRPr="003A727F">
        <w:rPr>
          <w:rFonts w:cstheme="minorHAnsi"/>
        </w:rPr>
        <w:t>Est l’interlocuteur privilégié de l’IDE et des médecins assurant la PEC du patient en cas d’EIR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Assure la traçabilité du PSL en lien avec l’HAD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t>Transporteur PSL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Assure l’acheminement du PSL dans le respect des bonnes pratiques professionnelles selon les modalités inscrites dans la c</w:t>
      </w:r>
      <w:r w:rsidR="003A727F">
        <w:rPr>
          <w:rFonts w:cstheme="minorHAnsi"/>
        </w:rPr>
        <w:t>onvention formalisée avec l’HAD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t>IDE habilité qui assure l’acte transfusionnel (IDEL ou IDE HAD)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Vérifie que le patient et l’aidant ont bien reçu et compris l’information pré-transfusionnelle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Vérifie que l’aidant va bien rester au chevet du patient dans les deux heures qui suivent la fin de la transfusion</w:t>
      </w:r>
    </w:p>
    <w:p w:rsid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Reste au chevet du patient pendant toute la durée de la transfusion et reste joignable pendant les deux heures qui suivent la réalisation de l’acte transfusionnel</w:t>
      </w:r>
      <w:r w:rsidR="00781D5A">
        <w:rPr>
          <w:rFonts w:cstheme="minorHAnsi"/>
        </w:rPr>
        <w:t>.</w:t>
      </w:r>
    </w:p>
    <w:p w:rsidR="00781D5A" w:rsidRPr="008B06CC" w:rsidRDefault="00781D5A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>
        <w:rPr>
          <w:rFonts w:cstheme="minorHAnsi"/>
        </w:rPr>
        <w:t xml:space="preserve">Contact le patient au décours des 2 heures post </w:t>
      </w:r>
      <w:r w:rsidR="00D7183C">
        <w:rPr>
          <w:rFonts w:cstheme="minorHAnsi"/>
        </w:rPr>
        <w:t>transfusionnelles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Applique les procédures institutionnelles encadrant la réalisation de l’acte transfusionnel et la traçabilité d’un PSL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A accès à la trousse d’urgence en cas d’EIR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3A727F" w:rsidRDefault="008B06CC" w:rsidP="003A727F">
      <w:pPr>
        <w:pStyle w:val="Paragraphedeliste"/>
        <w:numPr>
          <w:ilvl w:val="0"/>
          <w:numId w:val="30"/>
        </w:numPr>
        <w:ind w:right="572"/>
        <w:jc w:val="both"/>
        <w:rPr>
          <w:rFonts w:cstheme="minorHAnsi"/>
          <w:b/>
        </w:rPr>
      </w:pPr>
      <w:r w:rsidRPr="003A727F">
        <w:rPr>
          <w:rFonts w:cstheme="minorHAnsi"/>
          <w:b/>
        </w:rPr>
        <w:t>Aidants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S’engagent à rester au chevet du patient dans les deux heures qui suivent la fin de la transfusion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>Ont à disposition les documents d’information</w:t>
      </w:r>
      <w:r w:rsidR="003A727F">
        <w:rPr>
          <w:rFonts w:cstheme="minorHAnsi"/>
        </w:rPr>
        <w:t>s</w:t>
      </w:r>
      <w:r w:rsidRPr="008B06CC">
        <w:rPr>
          <w:rFonts w:cstheme="minorHAnsi"/>
        </w:rPr>
        <w:t xml:space="preserve"> leur permettant d’identifier les signes cliniques d’un EIR post transfusionnel</w:t>
      </w:r>
    </w:p>
    <w:p w:rsidR="008B06CC" w:rsidRPr="008B06CC" w:rsidRDefault="008B06CC" w:rsidP="008B06CC">
      <w:pPr>
        <w:numPr>
          <w:ilvl w:val="0"/>
          <w:numId w:val="27"/>
        </w:numPr>
        <w:ind w:right="572"/>
        <w:jc w:val="both"/>
        <w:rPr>
          <w:rFonts w:cstheme="minorHAnsi"/>
        </w:rPr>
      </w:pPr>
      <w:r w:rsidRPr="008B06CC">
        <w:rPr>
          <w:rFonts w:cstheme="minorHAnsi"/>
        </w:rPr>
        <w:t xml:space="preserve">Ont à leur disposition le numéro HAD à contacter si un de ces signes cliniques évocateur d’un EIR apparait 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bCs/>
        </w:rPr>
      </w:pPr>
    </w:p>
    <w:p w:rsidR="008B06CC" w:rsidRPr="00781A0B" w:rsidRDefault="008B06CC" w:rsidP="00781A0B">
      <w:pPr>
        <w:ind w:right="572"/>
        <w:jc w:val="both"/>
        <w:rPr>
          <w:rFonts w:cstheme="minorHAnsi"/>
          <w:b/>
          <w:bCs/>
          <w:i/>
          <w:u w:val="single"/>
        </w:rPr>
      </w:pPr>
      <w:r w:rsidRPr="00781A0B">
        <w:rPr>
          <w:rFonts w:cstheme="minorHAnsi"/>
          <w:b/>
          <w:bCs/>
          <w:i/>
          <w:u w:val="single"/>
        </w:rPr>
        <w:t>E</w:t>
      </w:r>
      <w:r w:rsidR="00781A0B" w:rsidRPr="00781A0B">
        <w:rPr>
          <w:rFonts w:cstheme="minorHAnsi"/>
          <w:b/>
          <w:bCs/>
          <w:i/>
          <w:u w:val="single"/>
        </w:rPr>
        <w:t>valuation :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</w:rPr>
      </w:pPr>
      <w:r w:rsidRPr="008B06CC">
        <w:rPr>
          <w:rFonts w:cstheme="minorHAnsi"/>
        </w:rPr>
        <w:t>Bilan annuel d’activité du CSTH</w:t>
      </w: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bCs/>
          <w:u w:val="single"/>
        </w:rPr>
      </w:pP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bCs/>
        </w:rPr>
      </w:pPr>
    </w:p>
    <w:p w:rsidR="008B06CC" w:rsidRPr="008B06CC" w:rsidRDefault="008B06CC" w:rsidP="008B06CC">
      <w:pPr>
        <w:ind w:left="567" w:right="572" w:hanging="283"/>
        <w:jc w:val="both"/>
        <w:rPr>
          <w:rFonts w:cstheme="minorHAnsi"/>
          <w:b/>
          <w:bCs/>
        </w:rPr>
      </w:pPr>
    </w:p>
    <w:p w:rsidR="000B7276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  <w:bookmarkStart w:id="0" w:name="_GoBack"/>
      <w:bookmarkEnd w:id="0"/>
      <w:r w:rsidRPr="005B6B7C">
        <w:rPr>
          <w:rFonts w:cstheme="minorHAnsi"/>
        </w:rPr>
        <w:t xml:space="preserve"> </w:t>
      </w:r>
    </w:p>
    <w:p w:rsidR="007F0ADB" w:rsidRDefault="000B7276" w:rsidP="000B7276">
      <w:pPr>
        <w:tabs>
          <w:tab w:val="left" w:pos="1277"/>
        </w:tabs>
      </w:pPr>
      <w:r>
        <w:tab/>
      </w:r>
    </w:p>
    <w:p w:rsidR="007F0ADB" w:rsidRPr="007F0ADB" w:rsidRDefault="007F0ADB" w:rsidP="007F0ADB"/>
    <w:p w:rsidR="007F0ADB" w:rsidRDefault="007F0ADB" w:rsidP="007F0ADB"/>
    <w:p w:rsidR="007F0ADB" w:rsidRPr="006D7522" w:rsidRDefault="007F0ADB" w:rsidP="008B06CC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tab/>
      </w:r>
    </w:p>
    <w:p w:rsidR="000B7276" w:rsidRPr="007F0ADB" w:rsidRDefault="000B7276" w:rsidP="007F0ADB">
      <w:pPr>
        <w:tabs>
          <w:tab w:val="left" w:pos="990"/>
        </w:tabs>
      </w:pPr>
    </w:p>
    <w:sectPr w:rsidR="000B7276" w:rsidRPr="007F0ADB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8B06CC" w:rsidP="007F0ADB">
    <w:pPr>
      <w:pStyle w:val="Pieddepage"/>
    </w:pPr>
    <w:r w:rsidRPr="008B06CC">
      <w:rPr>
        <w:rFonts w:ascii="Arial" w:hAnsi="Arial" w:cs="Arial"/>
        <w:i/>
        <w:color w:val="000080"/>
        <w:sz w:val="12"/>
        <w:szCs w:val="16"/>
      </w:rPr>
      <w:t>HVCVL/HAD/TRANSFUSION/ROLE-RESPONSABILITES-INTERVENANTS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7526161"/>
    <w:multiLevelType w:val="hybridMultilevel"/>
    <w:tmpl w:val="450E7DFC"/>
    <w:lvl w:ilvl="0" w:tplc="CB224C1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  <w:color w:val="2E74B5" w:themeColor="accent1" w:themeShade="BF"/>
        <w:sz w:val="24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8" w15:restartNumberingAfterBreak="0">
    <w:nsid w:val="1B36125E"/>
    <w:multiLevelType w:val="hybridMultilevel"/>
    <w:tmpl w:val="640A55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0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463E"/>
    <w:multiLevelType w:val="hybridMultilevel"/>
    <w:tmpl w:val="EAC6587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9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24EE"/>
    <w:multiLevelType w:val="hybridMultilevel"/>
    <w:tmpl w:val="B952320E"/>
    <w:lvl w:ilvl="0" w:tplc="CED8EBA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87A4E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AA4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3" w:tplc="A2A6650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8FC0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E0FD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E79C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C34A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CC65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0851B7"/>
    <w:multiLevelType w:val="hybridMultilevel"/>
    <w:tmpl w:val="4EB28774"/>
    <w:lvl w:ilvl="0" w:tplc="27901D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5" w15:restartNumberingAfterBreak="0">
    <w:nsid w:val="66C30202"/>
    <w:multiLevelType w:val="hybridMultilevel"/>
    <w:tmpl w:val="5DECB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426A6C"/>
    <w:multiLevelType w:val="multilevel"/>
    <w:tmpl w:val="DB0E3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0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19"/>
  </w:num>
  <w:num w:numId="5">
    <w:abstractNumId w:val="22"/>
  </w:num>
  <w:num w:numId="6">
    <w:abstractNumId w:val="2"/>
  </w:num>
  <w:num w:numId="7">
    <w:abstractNumId w:val="13"/>
  </w:num>
  <w:num w:numId="8">
    <w:abstractNumId w:val="12"/>
  </w:num>
  <w:num w:numId="9">
    <w:abstractNumId w:val="20"/>
  </w:num>
  <w:num w:numId="10">
    <w:abstractNumId w:val="4"/>
  </w:num>
  <w:num w:numId="11">
    <w:abstractNumId w:val="7"/>
  </w:num>
  <w:num w:numId="12">
    <w:abstractNumId w:val="18"/>
  </w:num>
  <w:num w:numId="13">
    <w:abstractNumId w:val="3"/>
  </w:num>
  <w:num w:numId="14">
    <w:abstractNumId w:val="15"/>
  </w:num>
  <w:num w:numId="15">
    <w:abstractNumId w:val="30"/>
  </w:num>
  <w:num w:numId="16">
    <w:abstractNumId w:val="16"/>
  </w:num>
  <w:num w:numId="17">
    <w:abstractNumId w:val="10"/>
  </w:num>
  <w:num w:numId="18">
    <w:abstractNumId w:val="6"/>
  </w:num>
  <w:num w:numId="19">
    <w:abstractNumId w:val="24"/>
  </w:num>
  <w:num w:numId="20">
    <w:abstractNumId w:val="28"/>
  </w:num>
  <w:num w:numId="21">
    <w:abstractNumId w:val="1"/>
  </w:num>
  <w:num w:numId="22">
    <w:abstractNumId w:val="14"/>
  </w:num>
  <w:num w:numId="23">
    <w:abstractNumId w:val="29"/>
  </w:num>
  <w:num w:numId="24">
    <w:abstractNumId w:val="9"/>
  </w:num>
  <w:num w:numId="25">
    <w:abstractNumId w:val="8"/>
  </w:num>
  <w:num w:numId="26">
    <w:abstractNumId w:val="21"/>
  </w:num>
  <w:num w:numId="27">
    <w:abstractNumId w:val="25"/>
  </w:num>
  <w:num w:numId="28">
    <w:abstractNumId w:val="26"/>
  </w:num>
  <w:num w:numId="29">
    <w:abstractNumId w:val="11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04D"/>
    <w:rsid w:val="001F6AB9"/>
    <w:rsid w:val="0025104A"/>
    <w:rsid w:val="00273F0A"/>
    <w:rsid w:val="0029033F"/>
    <w:rsid w:val="002A07E7"/>
    <w:rsid w:val="0033287C"/>
    <w:rsid w:val="0034566B"/>
    <w:rsid w:val="003A727F"/>
    <w:rsid w:val="003F109A"/>
    <w:rsid w:val="00470594"/>
    <w:rsid w:val="00526625"/>
    <w:rsid w:val="00554F14"/>
    <w:rsid w:val="005B050B"/>
    <w:rsid w:val="0061450D"/>
    <w:rsid w:val="006754D0"/>
    <w:rsid w:val="00734F1B"/>
    <w:rsid w:val="00752AF9"/>
    <w:rsid w:val="00781A0B"/>
    <w:rsid w:val="00781D5A"/>
    <w:rsid w:val="007C1278"/>
    <w:rsid w:val="007F0ADB"/>
    <w:rsid w:val="008B06CC"/>
    <w:rsid w:val="008F0DC7"/>
    <w:rsid w:val="009277F4"/>
    <w:rsid w:val="00936547"/>
    <w:rsid w:val="00982855"/>
    <w:rsid w:val="009E7C8D"/>
    <w:rsid w:val="00A80F10"/>
    <w:rsid w:val="00A84185"/>
    <w:rsid w:val="00B432ED"/>
    <w:rsid w:val="00B7265B"/>
    <w:rsid w:val="00BC63D7"/>
    <w:rsid w:val="00C1319D"/>
    <w:rsid w:val="00C15602"/>
    <w:rsid w:val="00C331EA"/>
    <w:rsid w:val="00C80EFE"/>
    <w:rsid w:val="00CA2275"/>
    <w:rsid w:val="00CE47D1"/>
    <w:rsid w:val="00D0718D"/>
    <w:rsid w:val="00D34273"/>
    <w:rsid w:val="00D7183C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BAE563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33</cp:revision>
  <dcterms:created xsi:type="dcterms:W3CDTF">2020-10-16T12:52:00Z</dcterms:created>
  <dcterms:modified xsi:type="dcterms:W3CDTF">2022-01-04T10:38:00Z</dcterms:modified>
</cp:coreProperties>
</file>