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25086A">
            <w:r>
              <w:rPr>
                <w:sz w:val="24"/>
              </w:rPr>
              <w:t>HVCVL/HAD/TRANSFUSION/</w:t>
            </w:r>
            <w:r w:rsidR="0025086A">
              <w:rPr>
                <w:sz w:val="24"/>
              </w:rPr>
              <w:t>INFORMATIONS/PATIENT-PROCHES</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25086A" w:rsidP="00FC530B">
                            <w:pPr>
                              <w:rPr>
                                <w:b/>
                                <w:sz w:val="28"/>
                              </w:rPr>
                            </w:pPr>
                            <w:r>
                              <w:rPr>
                                <w:b/>
                                <w:sz w:val="28"/>
                              </w:rPr>
                              <w:t>Informations sur la transfusion en HAD du patient et de ses proches</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25086A" w:rsidP="00FC530B">
                      <w:pPr>
                        <w:rPr>
                          <w:b/>
                          <w:sz w:val="28"/>
                        </w:rPr>
                      </w:pPr>
                      <w:r>
                        <w:rPr>
                          <w:b/>
                          <w:sz w:val="28"/>
                        </w:rPr>
                        <w:t>Informations sur la transfusion en HAD du patient et de ses proches</w:t>
                      </w:r>
                      <w:r w:rsidR="00FC530B" w:rsidRPr="00FC530B">
                        <w:rPr>
                          <w:b/>
                          <w:sz w:val="28"/>
                        </w:rPr>
                        <w:t xml:space="preserve"> </w:t>
                      </w:r>
                    </w:p>
                  </w:txbxContent>
                </v:textbox>
                <w10:wrap anchorx="margin"/>
              </v:rect>
            </w:pict>
          </mc:Fallback>
        </mc:AlternateContent>
      </w:r>
    </w:p>
    <w:p w:rsidR="00470594" w:rsidRDefault="00470594"/>
    <w:p w:rsidR="00470594" w:rsidRDefault="00470594"/>
    <w:p w:rsidR="00E77183" w:rsidRDefault="00E77183"/>
    <w:p w:rsidR="00CA2275" w:rsidRDefault="00CA2275">
      <w:pPr>
        <w:rPr>
          <w:b/>
          <w:i/>
          <w:u w:val="single"/>
        </w:rPr>
      </w:pPr>
    </w:p>
    <w:p w:rsidR="00E77183" w:rsidRDefault="00E77183">
      <w:r w:rsidRPr="00E77183">
        <w:rPr>
          <w:b/>
          <w:i/>
          <w:u w:val="single"/>
        </w:rPr>
        <w:t>Textes de références</w:t>
      </w:r>
      <w:r>
        <w:t> :</w:t>
      </w:r>
    </w:p>
    <w:p w:rsidR="00C86FB0" w:rsidRPr="00C3271F" w:rsidRDefault="00CA2275" w:rsidP="00C86FB0">
      <w:pPr>
        <w:pStyle w:val="Paragraphedeliste"/>
        <w:numPr>
          <w:ilvl w:val="0"/>
          <w:numId w:val="27"/>
        </w:numPr>
        <w:spacing w:after="0" w:line="240" w:lineRule="auto"/>
        <w:ind w:left="709"/>
      </w:pPr>
      <w:r>
        <w:t xml:space="preserve"> </w:t>
      </w:r>
      <w:r w:rsidR="00C86FB0" w:rsidRPr="00BD2A18">
        <w:rPr>
          <w:rFonts w:eastAsia="Times New Roman" w:cs="Arial"/>
          <w:lang w:eastAsia="fr-FR"/>
        </w:rPr>
        <w:t>Instruction N° DGS/PP4/DGOS/PF2/2021/230 du 16 novembre 2021 concernant la réalisation de l’acte transfusionnel</w:t>
      </w:r>
    </w:p>
    <w:p w:rsidR="00C86FB0" w:rsidRPr="00C3271F" w:rsidRDefault="00C86FB0" w:rsidP="00C86FB0">
      <w:pPr>
        <w:pStyle w:val="Paragraphedeliste"/>
        <w:numPr>
          <w:ilvl w:val="0"/>
          <w:numId w:val="27"/>
        </w:numPr>
        <w:spacing w:after="0" w:line="240" w:lineRule="auto"/>
        <w:ind w:left="709"/>
      </w:pPr>
      <w:r w:rsidRPr="00C3271F">
        <w:rPr>
          <w:rFonts w:cstheme="minorHAnsi"/>
        </w:rPr>
        <w:t>Décision du 10 mars 2020 définissant les principes de bonnes pratiques prévues à l’article 1222-12 du CSP</w:t>
      </w:r>
    </w:p>
    <w:p w:rsidR="00C86FB0" w:rsidRDefault="00C86FB0" w:rsidP="00C86FB0">
      <w:pPr>
        <w:pStyle w:val="Paragraphedeliste"/>
        <w:numPr>
          <w:ilvl w:val="0"/>
          <w:numId w:val="13"/>
        </w:numPr>
        <w:suppressAutoHyphens/>
        <w:autoSpaceDE w:val="0"/>
        <w:autoSpaceDN w:val="0"/>
        <w:adjustRightInd w:val="0"/>
        <w:ind w:left="709"/>
      </w:pPr>
      <w:r w:rsidRPr="008B06CC">
        <w:t xml:space="preserve">Document cadre HAD et transfusion du 20 avril 2018 / SFTS – SFVTT </w:t>
      </w:r>
      <w:r>
        <w:t>–</w:t>
      </w:r>
      <w:r w:rsidRPr="008B06CC">
        <w:t xml:space="preserve"> </w:t>
      </w:r>
      <w:r>
        <w:t>Version actualisée 2021</w:t>
      </w:r>
    </w:p>
    <w:p w:rsidR="00470594" w:rsidRDefault="00470594" w:rsidP="00C86FB0">
      <w:pPr>
        <w:pStyle w:val="Paragraphedeliste"/>
        <w:suppressAutoHyphens/>
        <w:autoSpaceDE w:val="0"/>
        <w:autoSpaceDN w:val="0"/>
        <w:adjustRightInd w:val="0"/>
        <w:ind w:left="709"/>
      </w:pPr>
    </w:p>
    <w:p w:rsidR="00470594" w:rsidRDefault="00470594"/>
    <w:p w:rsidR="00470594" w:rsidRDefault="00470594"/>
    <w:p w:rsidR="00CA2275" w:rsidRDefault="00CA2275"/>
    <w:p w:rsidR="00CA2275" w:rsidRDefault="00CA2275"/>
    <w:p w:rsidR="00CA2275" w:rsidRDefault="00CA2275"/>
    <w:p w:rsidR="00CA2275" w:rsidRDefault="00CA2275"/>
    <w:p w:rsidR="00CA2275" w:rsidRDefault="00CA2275"/>
    <w:p w:rsidR="00CA2275" w:rsidRDefault="00CA2275"/>
    <w:p w:rsidR="003C5558" w:rsidRDefault="003C5558"/>
    <w:p w:rsidR="00CA2275" w:rsidRDefault="00CA2275"/>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spellStart"/>
            <w:proofErr w:type="gramStart"/>
            <w:r>
              <w:rPr>
                <w:sz w:val="18"/>
              </w:rPr>
              <w:t>Dr.JONCA</w:t>
            </w:r>
            <w:proofErr w:type="spellEnd"/>
            <w:proofErr w:type="gramEnd"/>
          </w:p>
          <w:p w:rsidR="003C5558" w:rsidRPr="00554F14" w:rsidRDefault="003C5558" w:rsidP="003C5558">
            <w:pPr>
              <w:rPr>
                <w:b w:val="0"/>
                <w:sz w:val="16"/>
              </w:rPr>
            </w:pPr>
            <w:r>
              <w:rPr>
                <w:b w:val="0"/>
                <w:sz w:val="16"/>
              </w:rPr>
              <w:t>Médecin c</w:t>
            </w:r>
            <w:r w:rsidRPr="00554F14">
              <w:rPr>
                <w:b w:val="0"/>
                <w:sz w:val="16"/>
              </w:rPr>
              <w:t xml:space="preserve">oordonnateur </w:t>
            </w:r>
            <w:r>
              <w:rPr>
                <w:b w:val="0"/>
                <w:sz w:val="16"/>
              </w:rPr>
              <w:t>HAD Santé Relais domicile Toulouse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p w:rsidR="000B7276" w:rsidRPr="005B6B7C" w:rsidRDefault="0025086A" w:rsidP="000B7276">
      <w:pPr>
        <w:ind w:left="567" w:right="572" w:hanging="283"/>
        <w:jc w:val="both"/>
        <w:rPr>
          <w:rFonts w:cstheme="minorHAnsi"/>
          <w:b/>
        </w:rPr>
      </w:pPr>
      <w:r w:rsidRPr="002A460C">
        <w:rPr>
          <w:rFonts w:ascii="Gill Sans MT" w:hAnsi="Gill Sans MT"/>
          <w:b/>
          <w:smallCaps/>
          <w:noProof/>
          <w:sz w:val="26"/>
          <w:szCs w:val="26"/>
          <w:lang w:eastAsia="fr-FR"/>
        </w:rPr>
        <w:lastRenderedPageBreak/>
        <mc:AlternateContent>
          <mc:Choice Requires="wps">
            <w:drawing>
              <wp:anchor distT="45720" distB="45720" distL="114300" distR="114300" simplePos="0" relativeHeight="251661312" behindDoc="0" locked="0" layoutInCell="1" allowOverlap="1" wp14:anchorId="27096F30" wp14:editId="2FFB46E6">
                <wp:simplePos x="0" y="0"/>
                <wp:positionH relativeFrom="margin">
                  <wp:align>left</wp:align>
                </wp:positionH>
                <wp:positionV relativeFrom="paragraph">
                  <wp:posOffset>16510</wp:posOffset>
                </wp:positionV>
                <wp:extent cx="5777230" cy="783590"/>
                <wp:effectExtent l="0" t="0" r="13970" b="165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783590"/>
                        </a:xfrm>
                        <a:prstGeom prst="rect">
                          <a:avLst/>
                        </a:prstGeom>
                        <a:solidFill>
                          <a:schemeClr val="bg1">
                            <a:lumMod val="85000"/>
                          </a:schemeClr>
                        </a:solidFill>
                        <a:ln w="9525">
                          <a:solidFill>
                            <a:srgbClr val="000000"/>
                          </a:solidFill>
                          <a:miter lim="800000"/>
                          <a:headEnd/>
                          <a:tailEnd/>
                        </a:ln>
                      </wps:spPr>
                      <wps:txbx>
                        <w:txbxContent>
                          <w:p w:rsidR="0025086A" w:rsidRPr="002A460C" w:rsidRDefault="0025086A" w:rsidP="0025086A">
                            <w:pPr>
                              <w:spacing w:after="0" w:line="240" w:lineRule="auto"/>
                              <w:jc w:val="center"/>
                              <w:rPr>
                                <w:rFonts w:ascii="Gill Sans MT" w:hAnsi="Gill Sans MT"/>
                                <w:b/>
                                <w:sz w:val="14"/>
                                <w:szCs w:val="14"/>
                              </w:rPr>
                            </w:pPr>
                          </w:p>
                          <w:p w:rsidR="0025086A" w:rsidRDefault="0025086A" w:rsidP="0025086A">
                            <w:pPr>
                              <w:jc w:val="center"/>
                              <w:rPr>
                                <w:rFonts w:ascii="Gill Sans MT" w:hAnsi="Gill Sans MT"/>
                                <w:b/>
                                <w:smallCaps/>
                                <w:sz w:val="26"/>
                                <w:szCs w:val="26"/>
                              </w:rPr>
                            </w:pPr>
                            <w:r w:rsidRPr="00045B04">
                              <w:rPr>
                                <w:rFonts w:ascii="Gill Sans MT" w:hAnsi="Gill Sans MT"/>
                                <w:b/>
                                <w:smallCaps/>
                                <w:sz w:val="26"/>
                                <w:szCs w:val="26"/>
                              </w:rPr>
                              <w:t>INFORMATIO</w:t>
                            </w:r>
                            <w:r>
                              <w:rPr>
                                <w:rFonts w:ascii="Gill Sans MT" w:hAnsi="Gill Sans MT"/>
                                <w:b/>
                                <w:smallCaps/>
                                <w:sz w:val="26"/>
                                <w:szCs w:val="26"/>
                              </w:rPr>
                              <w:t>N</w:t>
                            </w:r>
                            <w:r w:rsidRPr="00045B04">
                              <w:rPr>
                                <w:rFonts w:ascii="Gill Sans MT" w:hAnsi="Gill Sans MT"/>
                                <w:b/>
                                <w:smallCaps/>
                                <w:sz w:val="26"/>
                                <w:szCs w:val="26"/>
                              </w:rPr>
                              <w:t>S SUR LA TRA</w:t>
                            </w:r>
                            <w:r>
                              <w:rPr>
                                <w:rFonts w:ascii="Gill Sans MT" w:hAnsi="Gill Sans MT"/>
                                <w:b/>
                                <w:smallCaps/>
                                <w:sz w:val="26"/>
                                <w:szCs w:val="26"/>
                              </w:rPr>
                              <w:t>N</w:t>
                            </w:r>
                            <w:r w:rsidRPr="00045B04">
                              <w:rPr>
                                <w:rFonts w:ascii="Gill Sans MT" w:hAnsi="Gill Sans MT"/>
                                <w:b/>
                                <w:smallCaps/>
                                <w:sz w:val="26"/>
                                <w:szCs w:val="26"/>
                              </w:rPr>
                              <w:t>SFUSION EN HAD</w:t>
                            </w:r>
                          </w:p>
                          <w:p w:rsidR="0025086A" w:rsidRDefault="0025086A" w:rsidP="0025086A">
                            <w:pPr>
                              <w:jc w:val="center"/>
                              <w:rPr>
                                <w:rFonts w:ascii="Gill Sans MT" w:hAnsi="Gill Sans MT"/>
                                <w:b/>
                                <w:smallCaps/>
                                <w:sz w:val="26"/>
                                <w:szCs w:val="26"/>
                              </w:rPr>
                            </w:pPr>
                            <w:r w:rsidRPr="00045B04">
                              <w:rPr>
                                <w:rFonts w:ascii="Gill Sans MT" w:hAnsi="Gill Sans MT"/>
                                <w:b/>
                                <w:smallCaps/>
                                <w:sz w:val="26"/>
                                <w:szCs w:val="26"/>
                              </w:rPr>
                              <w:t>DU PATIENT ET DE SES PROCHES</w:t>
                            </w:r>
                          </w:p>
                          <w:p w:rsidR="0025086A" w:rsidRPr="002A460C" w:rsidRDefault="0025086A" w:rsidP="0025086A">
                            <w:pPr>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96F30" id="_x0000_t202" coordsize="21600,21600" o:spt="202" path="m,l,21600r21600,l21600,xe">
                <v:stroke joinstyle="miter"/>
                <v:path gradientshapeok="t" o:connecttype="rect"/>
              </v:shapetype>
              <v:shape id="Zone de texte 2" o:spid="_x0000_s1027" type="#_x0000_t202" style="position:absolute;left:0;text-align:left;margin-left:0;margin-top:1.3pt;width:454.9pt;height:61.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" fillcolor="#d8d8d8 [2732]">
                <v:textbox>
                  <w:txbxContent>
                    <w:p w:rsidR="0025086A" w:rsidRPr="002A460C" w:rsidRDefault="0025086A" w:rsidP="0025086A">
                      <w:pPr>
                        <w:spacing w:after="0" w:line="240" w:lineRule="auto"/>
                        <w:jc w:val="center"/>
                        <w:rPr>
                          <w:rFonts w:ascii="Gill Sans MT" w:hAnsi="Gill Sans MT"/>
                          <w:b/>
                          <w:sz w:val="14"/>
                          <w:szCs w:val="14"/>
                        </w:rPr>
                      </w:pPr>
                    </w:p>
                    <w:p w:rsidR="0025086A" w:rsidRDefault="0025086A" w:rsidP="0025086A">
                      <w:pPr>
                        <w:jc w:val="center"/>
                        <w:rPr>
                          <w:rFonts w:ascii="Gill Sans MT" w:hAnsi="Gill Sans MT"/>
                          <w:b/>
                          <w:smallCaps/>
                          <w:sz w:val="26"/>
                          <w:szCs w:val="26"/>
                        </w:rPr>
                      </w:pPr>
                      <w:r w:rsidRPr="00045B04">
                        <w:rPr>
                          <w:rFonts w:ascii="Gill Sans MT" w:hAnsi="Gill Sans MT"/>
                          <w:b/>
                          <w:smallCaps/>
                          <w:sz w:val="26"/>
                          <w:szCs w:val="26"/>
                        </w:rPr>
                        <w:t>INFORMATIO</w:t>
                      </w:r>
                      <w:r>
                        <w:rPr>
                          <w:rFonts w:ascii="Gill Sans MT" w:hAnsi="Gill Sans MT"/>
                          <w:b/>
                          <w:smallCaps/>
                          <w:sz w:val="26"/>
                          <w:szCs w:val="26"/>
                        </w:rPr>
                        <w:t>N</w:t>
                      </w:r>
                      <w:r w:rsidRPr="00045B04">
                        <w:rPr>
                          <w:rFonts w:ascii="Gill Sans MT" w:hAnsi="Gill Sans MT"/>
                          <w:b/>
                          <w:smallCaps/>
                          <w:sz w:val="26"/>
                          <w:szCs w:val="26"/>
                        </w:rPr>
                        <w:t>S SUR LA TRA</w:t>
                      </w:r>
                      <w:r>
                        <w:rPr>
                          <w:rFonts w:ascii="Gill Sans MT" w:hAnsi="Gill Sans MT"/>
                          <w:b/>
                          <w:smallCaps/>
                          <w:sz w:val="26"/>
                          <w:szCs w:val="26"/>
                        </w:rPr>
                        <w:t>N</w:t>
                      </w:r>
                      <w:r w:rsidRPr="00045B04">
                        <w:rPr>
                          <w:rFonts w:ascii="Gill Sans MT" w:hAnsi="Gill Sans MT"/>
                          <w:b/>
                          <w:smallCaps/>
                          <w:sz w:val="26"/>
                          <w:szCs w:val="26"/>
                        </w:rPr>
                        <w:t>SFUSION EN HAD</w:t>
                      </w:r>
                    </w:p>
                    <w:p w:rsidR="0025086A" w:rsidRDefault="0025086A" w:rsidP="0025086A">
                      <w:pPr>
                        <w:jc w:val="center"/>
                        <w:rPr>
                          <w:rFonts w:ascii="Gill Sans MT" w:hAnsi="Gill Sans MT"/>
                          <w:b/>
                          <w:smallCaps/>
                          <w:sz w:val="26"/>
                          <w:szCs w:val="26"/>
                        </w:rPr>
                      </w:pPr>
                      <w:r w:rsidRPr="00045B04">
                        <w:rPr>
                          <w:rFonts w:ascii="Gill Sans MT" w:hAnsi="Gill Sans MT"/>
                          <w:b/>
                          <w:smallCaps/>
                          <w:sz w:val="26"/>
                          <w:szCs w:val="26"/>
                        </w:rPr>
                        <w:t>DU PATIENT ET DE SES PROCHES</w:t>
                      </w:r>
                    </w:p>
                    <w:p w:rsidR="0025086A" w:rsidRPr="002A460C" w:rsidRDefault="0025086A" w:rsidP="0025086A">
                      <w:pPr>
                        <w:jc w:val="center"/>
                        <w:rPr>
                          <w:sz w:val="14"/>
                          <w:szCs w:val="14"/>
                        </w:rPr>
                      </w:pPr>
                    </w:p>
                  </w:txbxContent>
                </v:textbox>
                <w10:wrap type="square" anchorx="margin"/>
              </v:shape>
            </w:pict>
          </mc:Fallback>
        </mc:AlternateContent>
      </w:r>
      <w:r w:rsidR="000B7276" w:rsidRPr="005B6B7C">
        <w:rPr>
          <w:rFonts w:cstheme="minorHAnsi"/>
        </w:rPr>
        <w:t xml:space="preserve">  </w:t>
      </w:r>
    </w:p>
    <w:p w:rsidR="0025086A" w:rsidRPr="00100F86" w:rsidRDefault="0025086A" w:rsidP="00250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ill Sans MT" w:hAnsi="Gill Sans MT" w:cs="AdvOT735b620e"/>
          <w:b/>
          <w:sz w:val="24"/>
          <w:szCs w:val="24"/>
        </w:rPr>
      </w:pPr>
      <w:r w:rsidRPr="00100F86">
        <w:rPr>
          <w:rFonts w:ascii="Gill Sans MT" w:hAnsi="Gill Sans MT" w:cs="AdvOT735b620e"/>
          <w:b/>
          <w:sz w:val="24"/>
          <w:szCs w:val="24"/>
        </w:rPr>
        <w:t>Les bénéfices attendus de la transfusion de PSL versus les alternatives à la transfusion</w:t>
      </w:r>
    </w:p>
    <w:p w:rsidR="0025086A" w:rsidRPr="00100F86" w:rsidRDefault="0025086A" w:rsidP="0025086A">
      <w:pPr>
        <w:spacing w:after="0" w:line="240" w:lineRule="auto"/>
        <w:jc w:val="both"/>
        <w:textAlignment w:val="baseline"/>
        <w:rPr>
          <w:rFonts w:ascii="Gill Sans MT" w:hAnsi="Gill Sans MT" w:cs="AdvOT735b620e"/>
          <w:sz w:val="24"/>
          <w:szCs w:val="24"/>
        </w:rPr>
      </w:pPr>
    </w:p>
    <w:p w:rsidR="0025086A" w:rsidRDefault="0025086A" w:rsidP="0025086A">
      <w:pPr>
        <w:spacing w:after="0" w:line="240" w:lineRule="auto"/>
        <w:jc w:val="both"/>
        <w:textAlignment w:val="baseline"/>
        <w:rPr>
          <w:rFonts w:ascii="Gill Sans MT" w:eastAsia="+mn-ea" w:hAnsi="Gill Sans MT" w:cs="+mn-cs"/>
          <w:color w:val="000000"/>
          <w:kern w:val="24"/>
          <w:sz w:val="24"/>
          <w:szCs w:val="24"/>
        </w:rPr>
      </w:pPr>
      <w:r>
        <w:rPr>
          <w:rFonts w:ascii="Gill Sans MT" w:hAnsi="Gill Sans MT" w:cs="AdvOT735b620e"/>
          <w:sz w:val="24"/>
          <w:szCs w:val="24"/>
          <w:u w:val="single"/>
        </w:rPr>
        <w:t>Le bénéfice attendu</w:t>
      </w:r>
      <w:r w:rsidRPr="00100F86">
        <w:rPr>
          <w:rFonts w:ascii="Gill Sans MT" w:hAnsi="Gill Sans MT" w:cs="AdvOT735b620e"/>
          <w:sz w:val="24"/>
          <w:szCs w:val="24"/>
          <w:u w:val="single"/>
        </w:rPr>
        <w:t xml:space="preserve"> de la transfusion de CGR</w:t>
      </w:r>
      <w:r w:rsidRPr="00100F86">
        <w:rPr>
          <w:rFonts w:ascii="Gill Sans MT" w:hAnsi="Gill Sans MT" w:cs="AdvOT735b620e"/>
          <w:sz w:val="24"/>
          <w:szCs w:val="24"/>
        </w:rPr>
        <w:t xml:space="preserve"> est une </w:t>
      </w:r>
      <w:r w:rsidRPr="00100F86">
        <w:rPr>
          <w:rFonts w:ascii="Gill Sans MT" w:eastAsia="+mn-ea" w:hAnsi="Gill Sans MT" w:cs="+mn-cs"/>
          <w:color w:val="000000"/>
          <w:kern w:val="24"/>
          <w:sz w:val="24"/>
          <w:szCs w:val="24"/>
        </w:rPr>
        <w:t>amélioration du taux d’hémoglobine (chez un homme de 70 Kg l’apport d’un CGR permet d’augmenter l’hématocrite de 2% et le taux d’</w:t>
      </w:r>
      <w:proofErr w:type="spellStart"/>
      <w:r w:rsidRPr="00100F86">
        <w:rPr>
          <w:rFonts w:ascii="Gill Sans MT" w:eastAsia="+mn-ea" w:hAnsi="Gill Sans MT" w:cs="+mn-cs"/>
          <w:color w:val="000000"/>
          <w:kern w:val="24"/>
          <w:sz w:val="24"/>
          <w:szCs w:val="24"/>
        </w:rPr>
        <w:t>Hb</w:t>
      </w:r>
      <w:proofErr w:type="spellEnd"/>
      <w:r w:rsidRPr="00100F86">
        <w:rPr>
          <w:rFonts w:ascii="Gill Sans MT" w:eastAsia="+mn-ea" w:hAnsi="Gill Sans MT" w:cs="+mn-cs"/>
          <w:color w:val="000000"/>
          <w:kern w:val="24"/>
          <w:sz w:val="24"/>
          <w:szCs w:val="24"/>
        </w:rPr>
        <w:t xml:space="preserve"> de 1G/100 ml).</w:t>
      </w:r>
    </w:p>
    <w:p w:rsidR="0025086A" w:rsidRPr="00100F86" w:rsidRDefault="0025086A" w:rsidP="0025086A">
      <w:pPr>
        <w:spacing w:after="0" w:line="240" w:lineRule="auto"/>
        <w:jc w:val="both"/>
        <w:textAlignment w:val="baseline"/>
        <w:rPr>
          <w:rFonts w:ascii="Gill Sans MT" w:eastAsia="+mn-ea" w:hAnsi="Gill Sans MT" w:cs="+mn-cs"/>
          <w:color w:val="000000"/>
          <w:kern w:val="24"/>
          <w:sz w:val="24"/>
          <w:szCs w:val="24"/>
        </w:rPr>
      </w:pPr>
    </w:p>
    <w:p w:rsidR="0025086A" w:rsidRPr="00100F86" w:rsidRDefault="0025086A" w:rsidP="0025086A">
      <w:pPr>
        <w:autoSpaceDE w:val="0"/>
        <w:autoSpaceDN w:val="0"/>
        <w:adjustRightInd w:val="0"/>
        <w:spacing w:after="0" w:line="240" w:lineRule="auto"/>
        <w:jc w:val="both"/>
        <w:rPr>
          <w:rFonts w:ascii="Gill Sans MT" w:hAnsi="Gill Sans MT" w:cs="Arial"/>
          <w:sz w:val="24"/>
          <w:szCs w:val="24"/>
        </w:rPr>
      </w:pPr>
      <w:r w:rsidRPr="00100F86">
        <w:rPr>
          <w:rFonts w:ascii="Gill Sans MT" w:hAnsi="Gill Sans MT" w:cs="Arial"/>
          <w:sz w:val="24"/>
          <w:szCs w:val="24"/>
        </w:rPr>
        <w:t xml:space="preserve">Leurs indications ont notamment été précisées par la communauté médicale et les autorités sanitaires, de telle sorte que leurs bénéfices soient très supérieurs aux risques résiduels de la transfusion. Dans le cadre d’une transfusion en HAD </w:t>
      </w:r>
      <w:r w:rsidR="00C86FB0">
        <w:rPr>
          <w:rFonts w:ascii="Gill Sans MT" w:hAnsi="Gill Sans MT" w:cs="Arial"/>
          <w:sz w:val="24"/>
          <w:szCs w:val="24"/>
        </w:rPr>
        <w:t xml:space="preserve">des CGR, du plasma et des plaquettes </w:t>
      </w:r>
      <w:r w:rsidRPr="00100F86">
        <w:rPr>
          <w:rFonts w:ascii="Gill Sans MT" w:hAnsi="Gill Sans MT" w:cs="Arial"/>
          <w:sz w:val="24"/>
          <w:szCs w:val="24"/>
        </w:rPr>
        <w:t xml:space="preserve">pourront vous être administrés. </w:t>
      </w:r>
    </w:p>
    <w:p w:rsidR="0025086A" w:rsidRPr="00100F86" w:rsidRDefault="0025086A" w:rsidP="0025086A">
      <w:pPr>
        <w:autoSpaceDE w:val="0"/>
        <w:autoSpaceDN w:val="0"/>
        <w:adjustRightInd w:val="0"/>
        <w:spacing w:after="0" w:line="240" w:lineRule="auto"/>
        <w:jc w:val="both"/>
        <w:rPr>
          <w:rFonts w:ascii="Gill Sans MT" w:hAnsi="Gill Sans MT" w:cs="AdvOT735b620e"/>
          <w:sz w:val="24"/>
          <w:szCs w:val="24"/>
        </w:rPr>
      </w:pPr>
    </w:p>
    <w:p w:rsidR="0025086A" w:rsidRPr="00100F86" w:rsidRDefault="0025086A" w:rsidP="0025086A">
      <w:pPr>
        <w:autoSpaceDE w:val="0"/>
        <w:autoSpaceDN w:val="0"/>
        <w:adjustRightInd w:val="0"/>
        <w:spacing w:after="0" w:line="240" w:lineRule="auto"/>
        <w:jc w:val="both"/>
        <w:rPr>
          <w:rFonts w:ascii="Gill Sans MT" w:hAnsi="Gill Sans MT" w:cs="AdvOT735b620e+20"/>
          <w:sz w:val="24"/>
          <w:szCs w:val="24"/>
        </w:rPr>
      </w:pPr>
    </w:p>
    <w:p w:rsidR="0025086A" w:rsidRDefault="0025086A" w:rsidP="0025086A">
      <w:pPr>
        <w:autoSpaceDE w:val="0"/>
        <w:autoSpaceDN w:val="0"/>
        <w:adjustRightInd w:val="0"/>
        <w:spacing w:after="0" w:line="240" w:lineRule="auto"/>
        <w:jc w:val="both"/>
        <w:rPr>
          <w:rFonts w:ascii="Gill Sans MT" w:hAnsi="Gill Sans MT" w:cs="AdvOT735b620e+20"/>
          <w:sz w:val="24"/>
          <w:szCs w:val="24"/>
        </w:rPr>
      </w:pPr>
      <w:r w:rsidRPr="00100F86">
        <w:rPr>
          <w:rFonts w:ascii="Gill Sans MT" w:hAnsi="Gill Sans MT" w:cs="AdvOT735b620e+20"/>
          <w:sz w:val="24"/>
          <w:szCs w:val="24"/>
          <w:u w:val="single"/>
        </w:rPr>
        <w:t xml:space="preserve">La transfusion de PSL </w:t>
      </w:r>
      <w:proofErr w:type="spellStart"/>
      <w:r w:rsidRPr="00100F86">
        <w:rPr>
          <w:rFonts w:ascii="Gill Sans MT" w:hAnsi="Gill Sans MT" w:cs="AdvOT735b620e+20"/>
          <w:sz w:val="24"/>
          <w:szCs w:val="24"/>
          <w:u w:val="single"/>
        </w:rPr>
        <w:t>allogénique</w:t>
      </w:r>
      <w:proofErr w:type="spellEnd"/>
      <w:r w:rsidRPr="00100F86">
        <w:rPr>
          <w:rFonts w:ascii="Gill Sans MT" w:hAnsi="Gill Sans MT" w:cs="AdvOT735b620e+20"/>
          <w:sz w:val="24"/>
          <w:szCs w:val="24"/>
          <w:u w:val="single"/>
        </w:rPr>
        <w:t xml:space="preserve"> reste actuellement le traitement indispensable</w:t>
      </w:r>
      <w:r w:rsidRPr="00100F86">
        <w:rPr>
          <w:rFonts w:ascii="Gill Sans MT" w:hAnsi="Gill Sans MT" w:cs="AdvOT735b620e+20"/>
          <w:sz w:val="24"/>
          <w:szCs w:val="24"/>
        </w:rPr>
        <w:t xml:space="preserve"> :</w:t>
      </w:r>
    </w:p>
    <w:p w:rsidR="0025086A" w:rsidRPr="00100F86" w:rsidRDefault="0025086A" w:rsidP="0025086A">
      <w:pPr>
        <w:autoSpaceDE w:val="0"/>
        <w:autoSpaceDN w:val="0"/>
        <w:adjustRightInd w:val="0"/>
        <w:spacing w:after="0" w:line="240" w:lineRule="auto"/>
        <w:jc w:val="both"/>
        <w:rPr>
          <w:rFonts w:ascii="Gill Sans MT" w:hAnsi="Gill Sans MT" w:cs="AdvOT735b620e+20"/>
          <w:sz w:val="24"/>
          <w:szCs w:val="24"/>
        </w:rPr>
      </w:pPr>
    </w:p>
    <w:p w:rsidR="0025086A" w:rsidRPr="00100F86" w:rsidRDefault="0025086A" w:rsidP="0025086A">
      <w:pPr>
        <w:pStyle w:val="Paragraphedeliste"/>
        <w:numPr>
          <w:ilvl w:val="0"/>
          <w:numId w:val="25"/>
        </w:numPr>
        <w:autoSpaceDE w:val="0"/>
        <w:autoSpaceDN w:val="0"/>
        <w:adjustRightInd w:val="0"/>
        <w:spacing w:after="0" w:line="240" w:lineRule="auto"/>
        <w:jc w:val="both"/>
        <w:rPr>
          <w:rFonts w:ascii="Gill Sans MT" w:hAnsi="Gill Sans MT" w:cs="AdvOT735b620e"/>
        </w:rPr>
      </w:pPr>
      <w:r w:rsidRPr="00100F86">
        <w:rPr>
          <w:rFonts w:ascii="Gill Sans MT" w:hAnsi="Gill Sans MT" w:cs="AdvOT735b620e"/>
        </w:rPr>
        <w:t xml:space="preserve">Dans le suivi au long cours des </w:t>
      </w:r>
      <w:proofErr w:type="spellStart"/>
      <w:r w:rsidRPr="00100F86">
        <w:rPr>
          <w:rFonts w:ascii="Gill Sans MT" w:hAnsi="Gill Sans MT" w:cs="AdvOT735b620e"/>
        </w:rPr>
        <w:t>myélodysplasies</w:t>
      </w:r>
      <w:proofErr w:type="spellEnd"/>
      <w:r w:rsidRPr="00100F86">
        <w:rPr>
          <w:rFonts w:ascii="Gill Sans MT" w:hAnsi="Gill Sans MT" w:cs="AdvOT735b620e"/>
        </w:rPr>
        <w:t xml:space="preserve"> en support transfusionnel</w:t>
      </w:r>
    </w:p>
    <w:p w:rsidR="0025086A" w:rsidRPr="00100F86" w:rsidRDefault="0025086A" w:rsidP="0025086A">
      <w:pPr>
        <w:pStyle w:val="Paragraphedeliste"/>
        <w:numPr>
          <w:ilvl w:val="0"/>
          <w:numId w:val="25"/>
        </w:numPr>
        <w:autoSpaceDE w:val="0"/>
        <w:autoSpaceDN w:val="0"/>
        <w:adjustRightInd w:val="0"/>
        <w:spacing w:after="0" w:line="240" w:lineRule="auto"/>
        <w:jc w:val="both"/>
        <w:rPr>
          <w:rFonts w:ascii="Gill Sans MT" w:hAnsi="Gill Sans MT" w:cs="AdvOT735b620e"/>
        </w:rPr>
      </w:pPr>
      <w:r w:rsidRPr="00100F86">
        <w:rPr>
          <w:rFonts w:ascii="Gill Sans MT" w:hAnsi="Gill Sans MT" w:cs="AdvOT735b620e"/>
        </w:rPr>
        <w:t>En réanimation hématologique (greffes de cellules souches hématopoïétiques et chimiothérapies lourdes) quand les pathologies ou les traitements mis en place entrainent une altération des différents composants du sang.</w:t>
      </w:r>
    </w:p>
    <w:p w:rsidR="0025086A" w:rsidRPr="00100F86" w:rsidRDefault="0025086A" w:rsidP="0025086A">
      <w:pPr>
        <w:autoSpaceDE w:val="0"/>
        <w:autoSpaceDN w:val="0"/>
        <w:adjustRightInd w:val="0"/>
        <w:spacing w:after="0" w:line="240" w:lineRule="auto"/>
        <w:jc w:val="both"/>
        <w:rPr>
          <w:rFonts w:ascii="Gill Sans MT" w:hAnsi="Gill Sans MT" w:cs="AdvOT735b620e"/>
          <w:sz w:val="24"/>
          <w:szCs w:val="24"/>
        </w:rPr>
      </w:pPr>
    </w:p>
    <w:p w:rsidR="0025086A" w:rsidRPr="00100F86" w:rsidRDefault="0025086A" w:rsidP="00250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ill Sans MT" w:hAnsi="Gill Sans MT" w:cs="AdvOT735b620e"/>
          <w:b/>
          <w:sz w:val="24"/>
          <w:szCs w:val="24"/>
        </w:rPr>
      </w:pPr>
      <w:r w:rsidRPr="00100F86">
        <w:rPr>
          <w:rFonts w:ascii="Gill Sans MT" w:hAnsi="Gill Sans MT" w:cs="AdvOT735b620e"/>
          <w:b/>
          <w:sz w:val="24"/>
          <w:szCs w:val="24"/>
        </w:rPr>
        <w:t>La nature et les caractéristiques des produits susceptibles de lui être transfusés : quels sont-ils, d</w:t>
      </w:r>
      <w:r w:rsidRPr="00100F86">
        <w:rPr>
          <w:rFonts w:ascii="Gill Sans MT" w:hAnsi="Gill Sans MT" w:cs="AdvOT735b620e+20"/>
          <w:b/>
          <w:sz w:val="24"/>
          <w:szCs w:val="24"/>
        </w:rPr>
        <w:t>’</w:t>
      </w:r>
      <w:r w:rsidRPr="00100F86">
        <w:rPr>
          <w:rFonts w:ascii="Gill Sans MT" w:hAnsi="Gill Sans MT" w:cs="AdvOT735b620e"/>
          <w:b/>
          <w:sz w:val="24"/>
          <w:szCs w:val="24"/>
        </w:rPr>
        <w:t>où viennent-ils, comment sont-ils testés, comment sont-ils préparés ?</w:t>
      </w:r>
    </w:p>
    <w:p w:rsidR="0025086A" w:rsidRPr="00100F86" w:rsidRDefault="0025086A" w:rsidP="0025086A">
      <w:pPr>
        <w:pStyle w:val="Default"/>
        <w:jc w:val="both"/>
        <w:rPr>
          <w:rFonts w:ascii="Gill Sans MT" w:hAnsi="Gill Sans MT" w:cs="Arial"/>
          <w:color w:val="auto"/>
        </w:rPr>
      </w:pPr>
    </w:p>
    <w:p w:rsidR="0025086A" w:rsidRPr="00100F86" w:rsidRDefault="0025086A" w:rsidP="0025086A">
      <w:pPr>
        <w:pStyle w:val="Default"/>
        <w:jc w:val="both"/>
        <w:rPr>
          <w:rFonts w:ascii="Gill Sans MT" w:hAnsi="Gill Sans MT" w:cs="Arial"/>
          <w:color w:val="auto"/>
        </w:rPr>
      </w:pPr>
      <w:r w:rsidRPr="00100F86">
        <w:rPr>
          <w:rFonts w:ascii="Gill Sans MT" w:hAnsi="Gill Sans MT" w:cs="Arial"/>
          <w:color w:val="auto"/>
        </w:rPr>
        <w:t xml:space="preserve">Les produits sanguins regroupés sous le terme de "produits sanguins labiles" sont les globules rouges, le plasma frais congelé, les plaquettes et, beaucoup plus rarement, les globules blancs. </w:t>
      </w:r>
    </w:p>
    <w:p w:rsidR="0025086A" w:rsidRPr="00100F86" w:rsidRDefault="0025086A" w:rsidP="0025086A">
      <w:pPr>
        <w:pStyle w:val="Default"/>
        <w:jc w:val="both"/>
        <w:rPr>
          <w:rFonts w:ascii="Gill Sans MT" w:hAnsi="Gill Sans MT" w:cs="Arial"/>
          <w:color w:val="auto"/>
        </w:rPr>
      </w:pPr>
    </w:p>
    <w:p w:rsidR="0025086A" w:rsidRPr="00100F86" w:rsidRDefault="00C86FB0" w:rsidP="003A3BA2">
      <w:pPr>
        <w:pStyle w:val="Default"/>
        <w:jc w:val="both"/>
        <w:rPr>
          <w:rFonts w:ascii="Gill Sans MT" w:eastAsia="+mn-ea" w:hAnsi="Gill Sans MT" w:cs="+mn-cs"/>
          <w:kern w:val="24"/>
        </w:rPr>
      </w:pPr>
      <w:r>
        <w:rPr>
          <w:rFonts w:ascii="Gill Sans MT" w:hAnsi="Gill Sans MT" w:cs="Arial"/>
          <w:color w:val="auto"/>
        </w:rPr>
        <w:t>L</w:t>
      </w:r>
      <w:r w:rsidR="0025086A" w:rsidRPr="00100F86">
        <w:rPr>
          <w:rFonts w:ascii="Gill Sans MT" w:hAnsi="Gill Sans MT" w:cs="Arial"/>
          <w:color w:val="auto"/>
        </w:rPr>
        <w:t xml:space="preserve">es </w:t>
      </w:r>
      <w:r w:rsidR="0025086A" w:rsidRPr="00100F86">
        <w:rPr>
          <w:rFonts w:ascii="Gill Sans MT" w:eastAsia="+mn-ea" w:hAnsi="Gill Sans MT" w:cs="+mn-cs"/>
          <w:kern w:val="24"/>
        </w:rPr>
        <w:t xml:space="preserve">caractéristiques </w:t>
      </w:r>
      <w:r w:rsidR="003A3BA2">
        <w:rPr>
          <w:rFonts w:ascii="Gill Sans MT" w:eastAsia="+mn-ea" w:hAnsi="Gill Sans MT" w:cs="+mn-cs"/>
          <w:kern w:val="24"/>
        </w:rPr>
        <w:t>sont variables selon le type de PSL.</w:t>
      </w:r>
    </w:p>
    <w:p w:rsidR="0025086A" w:rsidRPr="00100F86" w:rsidRDefault="0025086A" w:rsidP="0025086A">
      <w:pPr>
        <w:spacing w:after="0" w:line="240" w:lineRule="auto"/>
        <w:jc w:val="both"/>
        <w:textAlignment w:val="baseline"/>
        <w:rPr>
          <w:rFonts w:ascii="Gill Sans MT" w:eastAsia="+mn-ea" w:hAnsi="Gill Sans MT" w:cs="+mn-cs"/>
          <w:kern w:val="24"/>
          <w:sz w:val="24"/>
          <w:szCs w:val="24"/>
        </w:rPr>
      </w:pPr>
    </w:p>
    <w:p w:rsidR="0025086A" w:rsidRPr="00100F86" w:rsidRDefault="0025086A" w:rsidP="0025086A">
      <w:pPr>
        <w:pStyle w:val="Default"/>
        <w:jc w:val="both"/>
        <w:rPr>
          <w:rFonts w:ascii="Gill Sans MT" w:hAnsi="Gill Sans MT" w:cs="Arial"/>
          <w:color w:val="auto"/>
        </w:rPr>
      </w:pPr>
    </w:p>
    <w:p w:rsidR="0025086A" w:rsidRDefault="0025086A" w:rsidP="0025086A">
      <w:pPr>
        <w:pStyle w:val="Default"/>
        <w:jc w:val="both"/>
        <w:rPr>
          <w:rFonts w:ascii="Gill Sans MT" w:hAnsi="Gill Sans MT" w:cs="Arial"/>
          <w:color w:val="auto"/>
        </w:rPr>
      </w:pPr>
      <w:r w:rsidRPr="00100F86">
        <w:rPr>
          <w:rFonts w:ascii="Gill Sans MT" w:hAnsi="Gill Sans MT" w:cs="Arial"/>
          <w:color w:val="auto"/>
        </w:rPr>
        <w:t>En France ces produits proviennent exclusivement du do</w:t>
      </w:r>
      <w:r>
        <w:rPr>
          <w:rFonts w:ascii="Gill Sans MT" w:hAnsi="Gill Sans MT" w:cs="Arial"/>
          <w:color w:val="auto"/>
        </w:rPr>
        <w:t xml:space="preserve">n de sang de donneurs bénévoles. </w:t>
      </w:r>
      <w:r w:rsidRPr="00100F86">
        <w:rPr>
          <w:rFonts w:ascii="Gill Sans MT" w:hAnsi="Gill Sans MT" w:cs="Arial"/>
          <w:color w:val="auto"/>
        </w:rPr>
        <w:t xml:space="preserve">Ils sont rigoureusement contrôlés et répondent à des normes obligatoires de sécurité et de qualité : sélection des donneurs (questionnaire et examen médical), tests de dépistage sur chaque don (FNS </w:t>
      </w:r>
      <w:proofErr w:type="spellStart"/>
      <w:r w:rsidRPr="00100F86">
        <w:rPr>
          <w:rFonts w:ascii="Gill Sans MT" w:hAnsi="Gill Sans MT" w:cs="Arial"/>
          <w:color w:val="auto"/>
        </w:rPr>
        <w:t>Hb</w:t>
      </w:r>
      <w:proofErr w:type="spellEnd"/>
      <w:r w:rsidRPr="00100F86">
        <w:rPr>
          <w:rFonts w:ascii="Gill Sans MT" w:hAnsi="Gill Sans MT" w:cs="Arial"/>
          <w:color w:val="auto"/>
        </w:rPr>
        <w:t xml:space="preserve"> plaquettes, examens IH, sérologie et recherche du génome viral), règles pour assurer la qualité sur toute la chaîne depuis le donneur jusqu'au receveur. Deux opérateurs assurent sur le territoire national la collecte et la préparation des PSL : L’EFS pour le civil et le CTSA pour le service médical des armés.</w:t>
      </w:r>
    </w:p>
    <w:p w:rsidR="003C5558" w:rsidRDefault="003C5558" w:rsidP="0025086A">
      <w:pPr>
        <w:pStyle w:val="Default"/>
        <w:jc w:val="both"/>
        <w:rPr>
          <w:rFonts w:ascii="Gill Sans MT" w:hAnsi="Gill Sans MT" w:cs="Arial"/>
          <w:color w:val="auto"/>
        </w:rPr>
      </w:pPr>
    </w:p>
    <w:p w:rsidR="003C5558" w:rsidRDefault="003C5558" w:rsidP="0025086A">
      <w:pPr>
        <w:pStyle w:val="Default"/>
        <w:jc w:val="both"/>
        <w:rPr>
          <w:rFonts w:ascii="Gill Sans MT" w:hAnsi="Gill Sans MT" w:cs="Arial"/>
          <w:color w:val="auto"/>
        </w:rPr>
      </w:pPr>
    </w:p>
    <w:p w:rsidR="003C5558" w:rsidRPr="00100F86" w:rsidRDefault="003C5558" w:rsidP="0025086A">
      <w:pPr>
        <w:pStyle w:val="Default"/>
        <w:jc w:val="both"/>
        <w:rPr>
          <w:rFonts w:ascii="Gill Sans MT" w:hAnsi="Gill Sans MT" w:cs="Arial"/>
          <w:color w:val="auto"/>
        </w:rPr>
      </w:pPr>
    </w:p>
    <w:p w:rsidR="0025086A" w:rsidRPr="00100F86" w:rsidRDefault="0025086A" w:rsidP="0025086A">
      <w:pPr>
        <w:pStyle w:val="Default"/>
        <w:jc w:val="both"/>
        <w:rPr>
          <w:rFonts w:ascii="Gill Sans MT" w:hAnsi="Gill Sans MT" w:cs="Arial"/>
          <w:color w:val="auto"/>
        </w:rPr>
      </w:pPr>
    </w:p>
    <w:p w:rsidR="0025086A" w:rsidRPr="00100F86" w:rsidRDefault="0025086A" w:rsidP="0025086A">
      <w:pPr>
        <w:pStyle w:val="Default"/>
        <w:pBdr>
          <w:top w:val="single" w:sz="4" w:space="1" w:color="auto"/>
          <w:left w:val="single" w:sz="4" w:space="4" w:color="auto"/>
          <w:bottom w:val="single" w:sz="4" w:space="0" w:color="auto"/>
          <w:right w:val="single" w:sz="4" w:space="4" w:color="auto"/>
        </w:pBdr>
        <w:jc w:val="both"/>
        <w:rPr>
          <w:rFonts w:ascii="Gill Sans MT" w:hAnsi="Gill Sans MT" w:cs="Arial"/>
          <w:color w:val="auto"/>
        </w:rPr>
      </w:pPr>
      <w:r w:rsidRPr="00100F86">
        <w:rPr>
          <w:rFonts w:ascii="Gill Sans MT" w:hAnsi="Gill Sans MT" w:cs="Arial"/>
          <w:b/>
          <w:bCs/>
          <w:color w:val="auto"/>
        </w:rPr>
        <w:t>Les risques connus et l’hémovigilance</w:t>
      </w:r>
    </w:p>
    <w:p w:rsidR="0025086A" w:rsidRPr="00100F86" w:rsidRDefault="0025086A" w:rsidP="0025086A">
      <w:pPr>
        <w:pStyle w:val="Default"/>
        <w:jc w:val="both"/>
        <w:rPr>
          <w:rFonts w:ascii="Gill Sans MT" w:hAnsi="Gill Sans MT" w:cs="Arial"/>
          <w:color w:val="auto"/>
        </w:rPr>
      </w:pPr>
    </w:p>
    <w:p w:rsidR="0025086A" w:rsidRPr="00100F86" w:rsidRDefault="0025086A" w:rsidP="0025086A">
      <w:pPr>
        <w:pStyle w:val="Default"/>
        <w:jc w:val="both"/>
        <w:rPr>
          <w:rFonts w:ascii="Gill Sans MT" w:hAnsi="Gill Sans MT" w:cs="Arial"/>
          <w:color w:val="auto"/>
        </w:rPr>
      </w:pPr>
      <w:r w:rsidRPr="00100F86">
        <w:rPr>
          <w:rFonts w:ascii="Gill Sans MT" w:hAnsi="Gill Sans MT" w:cs="Arial"/>
          <w:color w:val="auto"/>
        </w:rPr>
        <w:t xml:space="preserve">Comme tout traitement, la transfusion sanguine comporte des risques. </w:t>
      </w:r>
    </w:p>
    <w:p w:rsidR="0025086A" w:rsidRPr="00100F86" w:rsidRDefault="0025086A" w:rsidP="0025086A">
      <w:pPr>
        <w:pStyle w:val="Default"/>
        <w:jc w:val="both"/>
        <w:rPr>
          <w:rFonts w:ascii="Gill Sans MT" w:hAnsi="Gill Sans MT" w:cs="Arial"/>
          <w:color w:val="auto"/>
        </w:rPr>
      </w:pPr>
      <w:r w:rsidRPr="00100F86">
        <w:rPr>
          <w:rFonts w:ascii="Gill Sans MT" w:hAnsi="Gill Sans MT" w:cs="Arial"/>
          <w:color w:val="auto"/>
        </w:rPr>
        <w:lastRenderedPageBreak/>
        <w:t>Des réactions sans conséquences graves peuvent survenir pendant et après</w:t>
      </w:r>
      <w:r>
        <w:rPr>
          <w:rFonts w:ascii="Gill Sans MT" w:hAnsi="Gill Sans MT" w:cs="Arial"/>
          <w:color w:val="auto"/>
        </w:rPr>
        <w:t xml:space="preserve"> la </w:t>
      </w:r>
      <w:r w:rsidRPr="00100F86">
        <w:rPr>
          <w:rFonts w:ascii="Gill Sans MT" w:hAnsi="Gill Sans MT" w:cs="Arial"/>
          <w:color w:val="auto"/>
        </w:rPr>
        <w:t xml:space="preserve">transfusion, comme de l'urticaire, ou des frissons et de la fièvre sans cause infectieuse. </w:t>
      </w:r>
    </w:p>
    <w:p w:rsidR="0025086A" w:rsidRPr="00100F86" w:rsidRDefault="0025086A" w:rsidP="0025086A">
      <w:pPr>
        <w:pStyle w:val="Default"/>
        <w:jc w:val="both"/>
        <w:rPr>
          <w:rFonts w:ascii="Gill Sans MT" w:hAnsi="Gill Sans MT" w:cs="Arial"/>
          <w:color w:val="auto"/>
        </w:rPr>
      </w:pPr>
    </w:p>
    <w:p w:rsidR="0025086A" w:rsidRPr="00100F86" w:rsidRDefault="0025086A" w:rsidP="0025086A">
      <w:pPr>
        <w:pStyle w:val="Default"/>
        <w:jc w:val="both"/>
        <w:rPr>
          <w:rFonts w:ascii="Gill Sans MT" w:hAnsi="Gill Sans MT" w:cs="Arial"/>
          <w:color w:val="auto"/>
        </w:rPr>
      </w:pPr>
      <w:r w:rsidRPr="00100F86">
        <w:rPr>
          <w:rFonts w:ascii="Gill Sans MT" w:hAnsi="Gill Sans MT" w:cs="Arial"/>
          <w:color w:val="auto"/>
        </w:rPr>
        <w:t xml:space="preserve">Des risques plus sévères liés à vos </w:t>
      </w:r>
      <w:r>
        <w:rPr>
          <w:rFonts w:ascii="Gill Sans MT" w:hAnsi="Gill Sans MT" w:cs="Arial"/>
          <w:color w:val="auto"/>
        </w:rPr>
        <w:t>antécédents</w:t>
      </w:r>
      <w:r w:rsidRPr="00100F86">
        <w:rPr>
          <w:rFonts w:ascii="Gill Sans MT" w:hAnsi="Gill Sans MT" w:cs="Arial"/>
          <w:color w:val="auto"/>
        </w:rPr>
        <w:t xml:space="preserve"> et votre état de santé actuel peuvent aussi survenir, la transfusion de CGR peut entrainer une surcharge </w:t>
      </w:r>
      <w:proofErr w:type="spellStart"/>
      <w:r w:rsidRPr="00100F86">
        <w:rPr>
          <w:rFonts w:ascii="Gill Sans MT" w:hAnsi="Gill Sans MT" w:cs="Arial"/>
          <w:color w:val="auto"/>
        </w:rPr>
        <w:t>volémique</w:t>
      </w:r>
      <w:proofErr w:type="spellEnd"/>
      <w:r w:rsidRPr="00100F86">
        <w:rPr>
          <w:rFonts w:ascii="Gill Sans MT" w:hAnsi="Gill Sans MT" w:cs="Arial"/>
          <w:color w:val="auto"/>
        </w:rPr>
        <w:t xml:space="preserve"> qui peut entrainer un Œdème Aigue du Poumon. Afin de prévenir ce</w:t>
      </w:r>
      <w:r>
        <w:rPr>
          <w:rFonts w:ascii="Gill Sans MT" w:hAnsi="Gill Sans MT" w:cs="Arial"/>
          <w:color w:val="auto"/>
        </w:rPr>
        <w:t>tte complication</w:t>
      </w:r>
      <w:r w:rsidRPr="00100F86">
        <w:rPr>
          <w:rFonts w:ascii="Gill Sans MT" w:hAnsi="Gill Sans MT" w:cs="Arial"/>
          <w:color w:val="auto"/>
        </w:rPr>
        <w:t xml:space="preserve"> dans le cadre de la pratique transfusionnel</w:t>
      </w:r>
      <w:r>
        <w:rPr>
          <w:rFonts w:ascii="Gill Sans MT" w:hAnsi="Gill Sans MT" w:cs="Arial"/>
          <w:color w:val="auto"/>
        </w:rPr>
        <w:t>le</w:t>
      </w:r>
      <w:r w:rsidRPr="00100F86">
        <w:rPr>
          <w:rFonts w:ascii="Gill Sans MT" w:hAnsi="Gill Sans MT" w:cs="Arial"/>
          <w:color w:val="auto"/>
        </w:rPr>
        <w:t xml:space="preserve"> en HAD, un seul CGR sera administré lors d’un acte transfusionnel et l’</w:t>
      </w:r>
      <w:r>
        <w:rPr>
          <w:rFonts w:ascii="Gill Sans MT" w:hAnsi="Gill Sans MT" w:cs="Arial"/>
          <w:color w:val="auto"/>
        </w:rPr>
        <w:t>infirmier</w:t>
      </w:r>
      <w:r w:rsidRPr="00100F86">
        <w:rPr>
          <w:rFonts w:ascii="Gill Sans MT" w:hAnsi="Gill Sans MT" w:cs="Arial"/>
          <w:color w:val="auto"/>
        </w:rPr>
        <w:t xml:space="preserve"> reste au chevet du patient pendant toute la réalisation de la transfusion</w:t>
      </w:r>
      <w:r>
        <w:rPr>
          <w:rFonts w:ascii="Gill Sans MT" w:hAnsi="Gill Sans MT" w:cs="Arial"/>
          <w:color w:val="auto"/>
        </w:rPr>
        <w:t>.</w:t>
      </w:r>
      <w:r w:rsidR="003A3BA2">
        <w:rPr>
          <w:rFonts w:ascii="Gill Sans MT" w:hAnsi="Gill Sans MT" w:cs="Arial"/>
          <w:color w:val="auto"/>
        </w:rPr>
        <w:t xml:space="preserve"> Une évaluation clinique te biologique sera réalisée au décours de la transfusion. En fonction de cette évaluation, un deuxième PSL pourra être prescrit en veillant à la validité de la RAI en cas de transfusion de CGR.</w:t>
      </w:r>
    </w:p>
    <w:p w:rsidR="0025086A" w:rsidRPr="00100F86" w:rsidRDefault="0025086A" w:rsidP="0025086A">
      <w:pPr>
        <w:pStyle w:val="Default"/>
        <w:jc w:val="both"/>
        <w:rPr>
          <w:rFonts w:ascii="Gill Sans MT" w:hAnsi="Gill Sans MT" w:cs="Arial"/>
          <w:color w:val="auto"/>
        </w:rPr>
      </w:pPr>
    </w:p>
    <w:p w:rsidR="0025086A" w:rsidRPr="00100F86" w:rsidRDefault="0025086A" w:rsidP="0025086A">
      <w:pPr>
        <w:pStyle w:val="Default"/>
        <w:jc w:val="both"/>
        <w:rPr>
          <w:rFonts w:ascii="Gill Sans MT" w:hAnsi="Gill Sans MT" w:cs="Arial"/>
          <w:color w:val="auto"/>
        </w:rPr>
      </w:pPr>
      <w:r w:rsidRPr="00100F86">
        <w:rPr>
          <w:rFonts w:ascii="Gill Sans MT" w:hAnsi="Gill Sans MT" w:cs="Arial"/>
          <w:color w:val="auto"/>
        </w:rPr>
        <w:t xml:space="preserve">Des risques liés aux très nombreux groupes sanguins : Il est impératif de respecter la compatibilité dans les groupes ABO et rhésus. Il existe également de nombreux autres groupes sanguins contre lesquels vous avez pu développer des anticorps (appelés "irréguliers"), qu'il importe donc de rechercher avant la transfusion pour en tenir compte dans le choix du produit transfusé. </w:t>
      </w:r>
    </w:p>
    <w:p w:rsidR="0025086A" w:rsidRPr="00100F86" w:rsidRDefault="0025086A" w:rsidP="0025086A">
      <w:pPr>
        <w:pStyle w:val="Default"/>
        <w:jc w:val="both"/>
        <w:rPr>
          <w:rFonts w:ascii="Gill Sans MT" w:hAnsi="Gill Sans MT" w:cs="Arial"/>
          <w:color w:val="auto"/>
        </w:rPr>
      </w:pPr>
      <w:r w:rsidRPr="00100F86">
        <w:rPr>
          <w:rFonts w:ascii="Gill Sans MT" w:hAnsi="Gill Sans MT" w:cs="Arial"/>
          <w:color w:val="auto"/>
        </w:rPr>
        <w:t xml:space="preserve">Votre identité et votre groupe sanguin seront de nouveau vérifiés juste avant la transfusion de globules rouges. La transfusion peut provoquer l'apparition d'anticorps irréguliers (dans 1 à 5 % des cas), ce qui peut avoir des conséquences en cas de transfusion ultérieure. </w:t>
      </w:r>
    </w:p>
    <w:p w:rsidR="0025086A" w:rsidRPr="00100F86" w:rsidRDefault="0025086A" w:rsidP="0025086A">
      <w:pPr>
        <w:pStyle w:val="Default"/>
        <w:jc w:val="both"/>
        <w:rPr>
          <w:rFonts w:ascii="Gill Sans MT" w:hAnsi="Gill Sans MT" w:cs="Arial"/>
          <w:color w:val="auto"/>
        </w:rPr>
      </w:pPr>
    </w:p>
    <w:p w:rsidR="0025086A" w:rsidRDefault="0025086A" w:rsidP="0025086A">
      <w:pPr>
        <w:pStyle w:val="Default"/>
        <w:jc w:val="both"/>
        <w:rPr>
          <w:rFonts w:ascii="Gill Sans MT" w:hAnsi="Gill Sans MT" w:cs="Arial"/>
          <w:color w:val="auto"/>
        </w:rPr>
      </w:pPr>
      <w:bookmarkStart w:id="0" w:name="_Hlk523154039"/>
    </w:p>
    <w:p w:rsidR="0025086A" w:rsidRDefault="0025086A" w:rsidP="0025086A">
      <w:pPr>
        <w:pStyle w:val="Default"/>
        <w:jc w:val="both"/>
        <w:rPr>
          <w:rFonts w:ascii="Gill Sans MT" w:hAnsi="Gill Sans MT" w:cstheme="minorBidi"/>
          <w:color w:val="auto"/>
        </w:rPr>
      </w:pPr>
      <w:r w:rsidRPr="00100F86">
        <w:rPr>
          <w:rFonts w:ascii="Gill Sans MT" w:hAnsi="Gill Sans MT" w:cs="Arial"/>
          <w:color w:val="auto"/>
        </w:rPr>
        <w:t>Malgré la sélection des donneurs et les différentes étapes de contrôle des PSL (Qualification Biologique du Don) des risques résiduels de contamination existent</w:t>
      </w:r>
      <w:r>
        <w:rPr>
          <w:rFonts w:ascii="Gill Sans MT" w:hAnsi="Gill Sans MT" w:cs="Arial"/>
          <w:color w:val="auto"/>
        </w:rPr>
        <w:t>.</w:t>
      </w:r>
      <w:r w:rsidRPr="00100F86">
        <w:rPr>
          <w:rFonts w:ascii="Gill Sans MT" w:hAnsi="Gill Sans MT" w:cs="Arial"/>
          <w:color w:val="auto"/>
        </w:rPr>
        <w:t xml:space="preserve"> </w:t>
      </w:r>
      <w:bookmarkEnd w:id="0"/>
      <w:r w:rsidRPr="00100F86">
        <w:rPr>
          <w:rFonts w:ascii="Gill Sans MT" w:hAnsi="Gill Sans MT" w:cstheme="minorBidi"/>
          <w:color w:val="auto"/>
        </w:rPr>
        <w:t xml:space="preserve">Les estimations pour 2013-2015 (risque résiduel/ source Santé Publique France, INTS, EFS, CTSA) sont les suivants : </w:t>
      </w:r>
    </w:p>
    <w:p w:rsidR="0025086A" w:rsidRPr="00100F86" w:rsidRDefault="0025086A" w:rsidP="0025086A">
      <w:pPr>
        <w:pStyle w:val="Default"/>
        <w:jc w:val="both"/>
        <w:rPr>
          <w:rFonts w:ascii="Gill Sans MT" w:hAnsi="Gill Sans MT" w:cstheme="minorBidi"/>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929"/>
      </w:tblGrid>
      <w:tr w:rsidR="0025086A" w:rsidRPr="00100F86" w:rsidTr="00BB238C">
        <w:trPr>
          <w:trHeight w:val="84"/>
        </w:trPr>
        <w:tc>
          <w:tcPr>
            <w:tcW w:w="1929" w:type="dxa"/>
          </w:tcPr>
          <w:p w:rsidR="0025086A" w:rsidRDefault="0025086A" w:rsidP="00BB238C">
            <w:pPr>
              <w:autoSpaceDE w:val="0"/>
              <w:autoSpaceDN w:val="0"/>
              <w:adjustRightInd w:val="0"/>
              <w:spacing w:after="0" w:line="240" w:lineRule="auto"/>
              <w:jc w:val="both"/>
              <w:rPr>
                <w:rFonts w:ascii="Gill Sans MT" w:hAnsi="Gill Sans MT" w:cs="Times New Roman"/>
                <w:color w:val="000000"/>
                <w:sz w:val="24"/>
                <w:szCs w:val="24"/>
              </w:rPr>
            </w:pPr>
          </w:p>
          <w:p w:rsidR="0025086A" w:rsidRDefault="0025086A" w:rsidP="00BB238C">
            <w:pPr>
              <w:autoSpaceDE w:val="0"/>
              <w:autoSpaceDN w:val="0"/>
              <w:adjustRightInd w:val="0"/>
              <w:spacing w:after="0" w:line="240" w:lineRule="auto"/>
              <w:jc w:val="both"/>
              <w:rPr>
                <w:rFonts w:ascii="Gill Sans MT" w:hAnsi="Gill Sans MT" w:cs="Times New Roman"/>
                <w:color w:val="000000"/>
                <w:sz w:val="24"/>
                <w:szCs w:val="24"/>
              </w:rPr>
            </w:pPr>
          </w:p>
          <w:p w:rsidR="0025086A" w:rsidRDefault="0025086A" w:rsidP="00BB238C">
            <w:pPr>
              <w:autoSpaceDE w:val="0"/>
              <w:autoSpaceDN w:val="0"/>
              <w:adjustRightInd w:val="0"/>
              <w:spacing w:after="0" w:line="240" w:lineRule="auto"/>
              <w:jc w:val="both"/>
              <w:rPr>
                <w:rFonts w:ascii="Gill Sans MT" w:hAnsi="Gill Sans MT" w:cs="Times New Roman"/>
                <w:color w:val="000000"/>
                <w:sz w:val="24"/>
                <w:szCs w:val="24"/>
              </w:rPr>
            </w:pPr>
          </w:p>
          <w:p w:rsidR="0025086A" w:rsidRPr="00100F86" w:rsidRDefault="0025086A" w:rsidP="00BB238C">
            <w:pPr>
              <w:autoSpaceDE w:val="0"/>
              <w:autoSpaceDN w:val="0"/>
              <w:adjustRightInd w:val="0"/>
              <w:spacing w:after="0" w:line="240" w:lineRule="auto"/>
              <w:jc w:val="both"/>
              <w:rPr>
                <w:rFonts w:ascii="Gill Sans MT" w:hAnsi="Gill Sans MT" w:cs="Times New Roman"/>
                <w:color w:val="000000"/>
                <w:sz w:val="24"/>
                <w:szCs w:val="24"/>
              </w:rPr>
            </w:pPr>
          </w:p>
        </w:tc>
      </w:tr>
    </w:tbl>
    <w:tbl>
      <w:tblPr>
        <w:tblStyle w:val="Grilledutableau"/>
        <w:tblW w:w="0" w:type="auto"/>
        <w:tblLook w:val="04A0" w:firstRow="1" w:lastRow="0" w:firstColumn="1" w:lastColumn="0" w:noHBand="0" w:noVBand="1"/>
      </w:tblPr>
      <w:tblGrid>
        <w:gridCol w:w="2037"/>
        <w:gridCol w:w="7025"/>
      </w:tblGrid>
      <w:tr w:rsidR="0025086A" w:rsidRPr="00100F86" w:rsidTr="00BB238C">
        <w:tc>
          <w:tcPr>
            <w:tcW w:w="2376" w:type="dxa"/>
          </w:tcPr>
          <w:p w:rsidR="0025086A" w:rsidRPr="00100F86" w:rsidRDefault="0025086A" w:rsidP="00BB238C">
            <w:pPr>
              <w:pStyle w:val="Default"/>
              <w:jc w:val="both"/>
              <w:rPr>
                <w:rFonts w:ascii="Gill Sans MT" w:hAnsi="Gill Sans MT" w:cstheme="minorBidi"/>
                <w:color w:val="auto"/>
              </w:rPr>
            </w:pPr>
          </w:p>
        </w:tc>
        <w:tc>
          <w:tcPr>
            <w:tcW w:w="8647" w:type="dxa"/>
          </w:tcPr>
          <w:p w:rsidR="0025086A" w:rsidRPr="00100F86" w:rsidRDefault="0025086A" w:rsidP="00BB238C">
            <w:pPr>
              <w:pStyle w:val="Default"/>
              <w:jc w:val="both"/>
              <w:rPr>
                <w:rFonts w:ascii="Gill Sans MT" w:hAnsi="Gill Sans MT" w:cs="Arial"/>
                <w:b/>
              </w:rPr>
            </w:pPr>
            <w:r w:rsidRPr="00100F86">
              <w:rPr>
                <w:rFonts w:ascii="Gill Sans MT" w:hAnsi="Gill Sans MT" w:cs="Arial"/>
                <w:b/>
              </w:rPr>
              <w:t>Risque résiduel</w:t>
            </w:r>
          </w:p>
        </w:tc>
      </w:tr>
      <w:tr w:rsidR="0025086A" w:rsidRPr="00100F86" w:rsidTr="00BB238C">
        <w:tc>
          <w:tcPr>
            <w:tcW w:w="2376" w:type="dxa"/>
          </w:tcPr>
          <w:p w:rsidR="0025086A" w:rsidRPr="00100F86" w:rsidRDefault="0025086A" w:rsidP="00BB238C">
            <w:pPr>
              <w:pStyle w:val="Default"/>
              <w:jc w:val="both"/>
              <w:rPr>
                <w:rFonts w:ascii="Gill Sans MT" w:hAnsi="Gill Sans MT" w:cstheme="minorBidi"/>
                <w:color w:val="auto"/>
              </w:rPr>
            </w:pPr>
            <w:r w:rsidRPr="00100F86">
              <w:rPr>
                <w:rFonts w:ascii="Gill Sans MT" w:hAnsi="Gill Sans MT" w:cs="Arial"/>
              </w:rPr>
              <w:t>VIH</w:t>
            </w:r>
          </w:p>
        </w:tc>
        <w:tc>
          <w:tcPr>
            <w:tcW w:w="8647" w:type="dxa"/>
          </w:tcPr>
          <w:p w:rsidR="0025086A" w:rsidRPr="00100F86" w:rsidRDefault="0025086A" w:rsidP="00BB238C">
            <w:pPr>
              <w:pStyle w:val="Default"/>
              <w:jc w:val="both"/>
              <w:rPr>
                <w:rFonts w:ascii="Gill Sans MT" w:hAnsi="Gill Sans MT" w:cs="Arial"/>
              </w:rPr>
            </w:pPr>
            <w:r w:rsidRPr="00100F86">
              <w:rPr>
                <w:rFonts w:ascii="Gill Sans MT" w:hAnsi="Gill Sans MT" w:cs="Arial"/>
              </w:rPr>
              <w:t>1 don /3, 2 Millions de dons</w:t>
            </w:r>
          </w:p>
          <w:p w:rsidR="0025086A" w:rsidRPr="00100F86" w:rsidRDefault="0025086A" w:rsidP="00BB238C">
            <w:pPr>
              <w:pStyle w:val="Default"/>
              <w:jc w:val="both"/>
              <w:rPr>
                <w:rFonts w:ascii="Gill Sans MT" w:hAnsi="Gill Sans MT" w:cstheme="minorBidi"/>
                <w:color w:val="auto"/>
              </w:rPr>
            </w:pPr>
          </w:p>
        </w:tc>
      </w:tr>
      <w:tr w:rsidR="0025086A" w:rsidRPr="00100F86" w:rsidTr="00BB238C">
        <w:tc>
          <w:tcPr>
            <w:tcW w:w="2376" w:type="dxa"/>
          </w:tcPr>
          <w:p w:rsidR="0025086A" w:rsidRPr="00100F86" w:rsidRDefault="0025086A" w:rsidP="00BB238C">
            <w:pPr>
              <w:pStyle w:val="Default"/>
              <w:jc w:val="both"/>
              <w:rPr>
                <w:rFonts w:ascii="Gill Sans MT" w:hAnsi="Gill Sans MT" w:cstheme="minorBidi"/>
                <w:color w:val="auto"/>
              </w:rPr>
            </w:pPr>
            <w:r w:rsidRPr="00100F86">
              <w:rPr>
                <w:rFonts w:ascii="Gill Sans MT" w:hAnsi="Gill Sans MT" w:cs="Arial"/>
              </w:rPr>
              <w:t xml:space="preserve">HTLV </w:t>
            </w:r>
          </w:p>
        </w:tc>
        <w:tc>
          <w:tcPr>
            <w:tcW w:w="8647" w:type="dxa"/>
          </w:tcPr>
          <w:p w:rsidR="0025086A" w:rsidRPr="00100F86" w:rsidRDefault="0025086A" w:rsidP="00BB238C">
            <w:pPr>
              <w:pStyle w:val="Default"/>
              <w:jc w:val="both"/>
              <w:rPr>
                <w:rFonts w:ascii="Gill Sans MT" w:hAnsi="Gill Sans MT" w:cstheme="minorBidi"/>
                <w:color w:val="auto"/>
              </w:rPr>
            </w:pPr>
            <w:r w:rsidRPr="00100F86">
              <w:rPr>
                <w:rFonts w:ascii="Gill Sans MT" w:hAnsi="Gill Sans MT" w:cstheme="minorBidi"/>
                <w:color w:val="auto"/>
              </w:rPr>
              <w:t>1 don /20 Millions de dons</w:t>
            </w:r>
          </w:p>
          <w:p w:rsidR="0025086A" w:rsidRPr="00100F86" w:rsidRDefault="0025086A" w:rsidP="00BB238C">
            <w:pPr>
              <w:pStyle w:val="Default"/>
              <w:jc w:val="both"/>
              <w:rPr>
                <w:rFonts w:ascii="Gill Sans MT" w:hAnsi="Gill Sans MT" w:cstheme="minorBidi"/>
                <w:color w:val="auto"/>
              </w:rPr>
            </w:pPr>
          </w:p>
        </w:tc>
      </w:tr>
      <w:tr w:rsidR="0025086A" w:rsidRPr="00100F86" w:rsidTr="00BB238C">
        <w:tc>
          <w:tcPr>
            <w:tcW w:w="2376" w:type="dxa"/>
          </w:tcPr>
          <w:p w:rsidR="0025086A" w:rsidRPr="00100F86" w:rsidRDefault="0025086A" w:rsidP="00BB238C">
            <w:pPr>
              <w:pStyle w:val="Default"/>
              <w:jc w:val="both"/>
              <w:rPr>
                <w:rFonts w:ascii="Gill Sans MT" w:hAnsi="Gill Sans MT" w:cstheme="minorBidi"/>
                <w:color w:val="auto"/>
              </w:rPr>
            </w:pPr>
            <w:r w:rsidRPr="00100F86">
              <w:rPr>
                <w:rFonts w:ascii="Gill Sans MT" w:hAnsi="Gill Sans MT" w:cs="Arial"/>
              </w:rPr>
              <w:t>VHC</w:t>
            </w:r>
          </w:p>
        </w:tc>
        <w:tc>
          <w:tcPr>
            <w:tcW w:w="8647" w:type="dxa"/>
          </w:tcPr>
          <w:p w:rsidR="0025086A" w:rsidRPr="00100F86" w:rsidRDefault="0025086A" w:rsidP="00BB238C">
            <w:pPr>
              <w:pStyle w:val="Default"/>
              <w:jc w:val="both"/>
              <w:rPr>
                <w:rFonts w:ascii="Gill Sans MT" w:hAnsi="Gill Sans MT" w:cs="Arial"/>
              </w:rPr>
            </w:pPr>
            <w:r w:rsidRPr="00100F86">
              <w:rPr>
                <w:rFonts w:ascii="Gill Sans MT" w:hAnsi="Gill Sans MT" w:cs="Arial"/>
              </w:rPr>
              <w:t>1 don /32 Millions de dons</w:t>
            </w:r>
          </w:p>
          <w:p w:rsidR="0025086A" w:rsidRPr="00100F86" w:rsidRDefault="0025086A" w:rsidP="00BB238C">
            <w:pPr>
              <w:pStyle w:val="Default"/>
              <w:jc w:val="both"/>
              <w:rPr>
                <w:rFonts w:ascii="Gill Sans MT" w:hAnsi="Gill Sans MT"/>
              </w:rPr>
            </w:pPr>
          </w:p>
        </w:tc>
      </w:tr>
      <w:tr w:rsidR="0025086A" w:rsidRPr="00100F86" w:rsidTr="00BB238C">
        <w:tc>
          <w:tcPr>
            <w:tcW w:w="2376" w:type="dxa"/>
          </w:tcPr>
          <w:p w:rsidR="0025086A" w:rsidRPr="00100F86" w:rsidRDefault="0025086A" w:rsidP="00BB238C">
            <w:pPr>
              <w:pStyle w:val="Default"/>
              <w:jc w:val="both"/>
              <w:rPr>
                <w:rFonts w:ascii="Gill Sans MT" w:hAnsi="Gill Sans MT" w:cstheme="minorBidi"/>
                <w:color w:val="auto"/>
              </w:rPr>
            </w:pPr>
            <w:r w:rsidRPr="00100F86">
              <w:rPr>
                <w:rFonts w:ascii="Gill Sans MT" w:hAnsi="Gill Sans MT" w:cs="Arial"/>
              </w:rPr>
              <w:t>VHB</w:t>
            </w:r>
          </w:p>
        </w:tc>
        <w:tc>
          <w:tcPr>
            <w:tcW w:w="8647" w:type="dxa"/>
          </w:tcPr>
          <w:p w:rsidR="0025086A" w:rsidRPr="00100F86" w:rsidRDefault="0025086A" w:rsidP="00BB238C">
            <w:pPr>
              <w:pStyle w:val="Default"/>
              <w:jc w:val="both"/>
              <w:rPr>
                <w:rFonts w:ascii="Gill Sans MT" w:hAnsi="Gill Sans MT" w:cs="Arial"/>
              </w:rPr>
            </w:pPr>
            <w:r w:rsidRPr="00100F86">
              <w:rPr>
                <w:rFonts w:ascii="Gill Sans MT" w:hAnsi="Gill Sans MT" w:cs="Arial"/>
              </w:rPr>
              <w:t>1 don /5,3 Millions de dons</w:t>
            </w:r>
          </w:p>
          <w:p w:rsidR="0025086A" w:rsidRPr="00100F86" w:rsidRDefault="0025086A" w:rsidP="00BB238C">
            <w:pPr>
              <w:pStyle w:val="Default"/>
              <w:jc w:val="both"/>
              <w:rPr>
                <w:rFonts w:ascii="Gill Sans MT" w:hAnsi="Gill Sans MT" w:cstheme="minorBidi"/>
                <w:color w:val="auto"/>
              </w:rPr>
            </w:pPr>
          </w:p>
        </w:tc>
      </w:tr>
    </w:tbl>
    <w:p w:rsidR="0025086A" w:rsidRPr="00100F86" w:rsidRDefault="0025086A" w:rsidP="0025086A">
      <w:pPr>
        <w:pStyle w:val="Default"/>
        <w:jc w:val="both"/>
        <w:rPr>
          <w:rFonts w:ascii="Gill Sans MT" w:hAnsi="Gill Sans MT" w:cstheme="minorBidi"/>
          <w:color w:val="auto"/>
        </w:rPr>
      </w:pPr>
    </w:p>
    <w:p w:rsidR="0025086A" w:rsidRDefault="0025086A" w:rsidP="0025086A">
      <w:pPr>
        <w:pStyle w:val="Default"/>
        <w:jc w:val="both"/>
        <w:rPr>
          <w:rFonts w:ascii="Gill Sans MT" w:hAnsi="Gill Sans MT" w:cstheme="minorBidi"/>
          <w:color w:val="auto"/>
        </w:rPr>
      </w:pPr>
      <w:r w:rsidRPr="00100F86">
        <w:rPr>
          <w:rFonts w:ascii="Gill Sans MT" w:hAnsi="Gill Sans MT" w:cstheme="minorBidi"/>
          <w:color w:val="auto"/>
        </w:rPr>
        <w:t>La transfusion régulière de CGR en l’absence de saignement peut entrainer une surcharge en fer post transfusionnelle, cette complication métabolique ne se manifeste par aucun signe clinique particulier, elle devra être recherché</w:t>
      </w:r>
      <w:r>
        <w:rPr>
          <w:rFonts w:ascii="Gill Sans MT" w:hAnsi="Gill Sans MT" w:cstheme="minorBidi"/>
          <w:color w:val="auto"/>
        </w:rPr>
        <w:t>e</w:t>
      </w:r>
      <w:r w:rsidRPr="00100F86">
        <w:rPr>
          <w:rFonts w:ascii="Gill Sans MT" w:hAnsi="Gill Sans MT" w:cstheme="minorBidi"/>
          <w:color w:val="auto"/>
        </w:rPr>
        <w:t xml:space="preserve"> de façon systématique par le médecin suite à la transfusion de plus de 20 CGR</w:t>
      </w:r>
      <w:r>
        <w:rPr>
          <w:rFonts w:ascii="Gill Sans MT" w:hAnsi="Gill Sans MT" w:cstheme="minorBidi"/>
          <w:color w:val="auto"/>
        </w:rPr>
        <w:t>.</w:t>
      </w:r>
    </w:p>
    <w:p w:rsidR="0025086A" w:rsidRPr="00100F86" w:rsidRDefault="0025086A" w:rsidP="0025086A">
      <w:pPr>
        <w:pStyle w:val="Default"/>
        <w:jc w:val="both"/>
        <w:rPr>
          <w:rFonts w:ascii="Gill Sans MT" w:hAnsi="Gill Sans MT" w:cstheme="minorBidi"/>
          <w:color w:val="auto"/>
        </w:rPr>
      </w:pP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Comme on ne peut, de principe, exclure des dangers inconnus, une surveillance nationale des incidents de la transfusion a été mise en place depuis 1994 : l'hémovigilance, cette vigilance sanitaire est organisée au sein des fournisseurs de PSL (E</w:t>
      </w:r>
      <w:r>
        <w:rPr>
          <w:rFonts w:ascii="Gill Sans MT" w:hAnsi="Gill Sans MT" w:cs="Arial"/>
          <w:color w:val="000000"/>
          <w:sz w:val="24"/>
          <w:szCs w:val="24"/>
        </w:rPr>
        <w:t>tablissement Français du Sang (EFS) et Centre de Transfusion Sanguine des Armées (CTSA)</w:t>
      </w:r>
      <w:r w:rsidRPr="00100F86">
        <w:rPr>
          <w:rFonts w:ascii="Gill Sans MT" w:hAnsi="Gill Sans MT" w:cs="Arial"/>
          <w:color w:val="000000"/>
          <w:sz w:val="24"/>
          <w:szCs w:val="24"/>
        </w:rPr>
        <w:t>)</w:t>
      </w:r>
      <w:r>
        <w:rPr>
          <w:rFonts w:ascii="Gill Sans MT" w:hAnsi="Gill Sans MT" w:cs="Arial"/>
          <w:color w:val="000000"/>
          <w:sz w:val="24"/>
          <w:szCs w:val="24"/>
        </w:rPr>
        <w:t xml:space="preserve">, </w:t>
      </w:r>
      <w:r w:rsidRPr="00100F86">
        <w:rPr>
          <w:rFonts w:ascii="Gill Sans MT" w:hAnsi="Gill Sans MT" w:cs="Arial"/>
          <w:color w:val="000000"/>
          <w:sz w:val="24"/>
          <w:szCs w:val="24"/>
        </w:rPr>
        <w:t>des établissements de santé, au niveau régional et national. La traçabilité du PSL du donneur au receveur nous permet d’être en alerte et de pouvoir</w:t>
      </w:r>
      <w:r>
        <w:rPr>
          <w:rFonts w:ascii="Gill Sans MT" w:hAnsi="Gill Sans MT" w:cs="Arial"/>
          <w:color w:val="000000"/>
          <w:sz w:val="24"/>
          <w:szCs w:val="24"/>
        </w:rPr>
        <w:t xml:space="preserve">, </w:t>
      </w:r>
      <w:r w:rsidRPr="00100F86">
        <w:rPr>
          <w:rFonts w:ascii="Gill Sans MT" w:hAnsi="Gill Sans MT" w:cs="Arial"/>
          <w:color w:val="000000"/>
          <w:sz w:val="24"/>
          <w:szCs w:val="24"/>
        </w:rPr>
        <w:t>si cela s'avérait nécessaire, vous contacter afin de vous communiquer des informations complémentaires.</w:t>
      </w: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Pr="00100F86" w:rsidRDefault="0025086A" w:rsidP="00250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b/>
          <w:bCs/>
          <w:color w:val="000000"/>
          <w:sz w:val="24"/>
          <w:szCs w:val="24"/>
        </w:rPr>
        <w:t xml:space="preserve">Les examens biologiques avant la transfusion </w:t>
      </w: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 xml:space="preserve">Le niveau de sécurité désormais atteint en matière de transmission de virus ne rend plus nécessaire la recherche systématique de leur trace avant et après la transfusion. </w:t>
      </w: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En revanche, afin de prévenir les risques liés aux très nombreux groupes sanguins, un certain nombre d’examens doivent être effectués</w:t>
      </w:r>
      <w:r>
        <w:rPr>
          <w:rFonts w:ascii="Gill Sans MT" w:hAnsi="Gill Sans MT" w:cs="Arial"/>
          <w:color w:val="000000"/>
          <w:sz w:val="24"/>
          <w:szCs w:val="24"/>
        </w:rPr>
        <w:t>.</w:t>
      </w: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Avant chaque transfusion</w:t>
      </w:r>
      <w:r>
        <w:rPr>
          <w:rFonts w:ascii="Gill Sans MT" w:hAnsi="Gill Sans MT" w:cs="Arial"/>
          <w:color w:val="000000"/>
          <w:sz w:val="24"/>
          <w:szCs w:val="24"/>
        </w:rPr>
        <w:t xml:space="preserve">, </w:t>
      </w:r>
      <w:r w:rsidRPr="00100F86">
        <w:rPr>
          <w:rFonts w:ascii="Gill Sans MT" w:hAnsi="Gill Sans MT" w:cs="Arial"/>
          <w:color w:val="000000"/>
          <w:sz w:val="24"/>
          <w:szCs w:val="24"/>
        </w:rPr>
        <w:t>il est obligatoire de disposer des caractéristiques de groupes sanguins du patient (figurant sur la carte de groupe sanguin) ainsi que d’un résultat récent de recherche d’anticorps irréguliers (RAI)</w:t>
      </w:r>
      <w:r w:rsidR="004672DA">
        <w:rPr>
          <w:rFonts w:ascii="Gill Sans MT" w:hAnsi="Gill Sans MT" w:cs="Arial"/>
          <w:color w:val="000000"/>
          <w:sz w:val="24"/>
          <w:szCs w:val="24"/>
        </w:rPr>
        <w:t xml:space="preserve"> pour la transfusion de CGR</w:t>
      </w:r>
      <w:r w:rsidRPr="00100F86">
        <w:rPr>
          <w:rFonts w:ascii="Gill Sans MT" w:hAnsi="Gill Sans MT" w:cs="Arial"/>
          <w:color w:val="000000"/>
          <w:sz w:val="24"/>
          <w:szCs w:val="24"/>
        </w:rPr>
        <w:t xml:space="preserve">. </w:t>
      </w: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 xml:space="preserve">L’intervalle de temps entre la RAI et la transfusion elle-même peut varier de 3 jours à plusieurs semaines selon les circonstances cliniques. </w:t>
      </w: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Pr="00100F86" w:rsidRDefault="0025086A" w:rsidP="00250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b/>
          <w:bCs/>
          <w:color w:val="000000"/>
          <w:sz w:val="24"/>
          <w:szCs w:val="24"/>
        </w:rPr>
        <w:t>Les spécificités de la réalisation d’un acte transfusionnel en HAD</w:t>
      </w:r>
    </w:p>
    <w:p w:rsidR="0025086A" w:rsidRPr="00100F86" w:rsidRDefault="0025086A" w:rsidP="0025086A">
      <w:pPr>
        <w:pStyle w:val="Default"/>
        <w:jc w:val="both"/>
        <w:rPr>
          <w:rFonts w:ascii="Gill Sans MT" w:hAnsi="Gill Sans MT" w:cstheme="minorBidi"/>
          <w:color w:val="auto"/>
        </w:rPr>
      </w:pPr>
    </w:p>
    <w:p w:rsidR="0025086A" w:rsidRPr="00100F86" w:rsidRDefault="0025086A" w:rsidP="0025086A">
      <w:pPr>
        <w:pStyle w:val="Default"/>
        <w:jc w:val="both"/>
        <w:rPr>
          <w:rFonts w:ascii="Gill Sans MT" w:hAnsi="Gill Sans MT" w:cstheme="minorBidi"/>
          <w:color w:val="auto"/>
        </w:rPr>
      </w:pPr>
      <w:r w:rsidRPr="00100F86">
        <w:rPr>
          <w:rFonts w:ascii="Gill Sans MT" w:hAnsi="Gill Sans MT" w:cstheme="minorBidi"/>
          <w:color w:val="auto"/>
        </w:rPr>
        <w:t xml:space="preserve">Un seul </w:t>
      </w:r>
      <w:r w:rsidR="003A3BA2">
        <w:rPr>
          <w:rFonts w:ascii="Gill Sans MT" w:hAnsi="Gill Sans MT" w:cstheme="minorBidi"/>
          <w:color w:val="auto"/>
        </w:rPr>
        <w:t>PSL</w:t>
      </w:r>
      <w:r w:rsidRPr="00100F86">
        <w:rPr>
          <w:rFonts w:ascii="Gill Sans MT" w:hAnsi="Gill Sans MT" w:cstheme="minorBidi"/>
          <w:color w:val="auto"/>
        </w:rPr>
        <w:t xml:space="preserve"> sera transfusé </w:t>
      </w:r>
      <w:r w:rsidR="003E277C">
        <w:rPr>
          <w:rFonts w:ascii="Gill Sans MT" w:hAnsi="Gill Sans MT" w:cstheme="minorBidi"/>
          <w:color w:val="auto"/>
        </w:rPr>
        <w:t>par</w:t>
      </w:r>
      <w:r w:rsidRPr="00100F86">
        <w:rPr>
          <w:rFonts w:ascii="Gill Sans MT" w:hAnsi="Gill Sans MT" w:cstheme="minorBidi"/>
          <w:color w:val="auto"/>
        </w:rPr>
        <w:t xml:space="preserve"> acte transfusionnel</w:t>
      </w:r>
      <w:r>
        <w:rPr>
          <w:rFonts w:ascii="Gill Sans MT" w:hAnsi="Gill Sans MT" w:cstheme="minorBidi"/>
          <w:color w:val="auto"/>
        </w:rPr>
        <w:t>.</w:t>
      </w:r>
      <w:r w:rsidR="003E277C">
        <w:rPr>
          <w:rFonts w:ascii="Gill Sans MT" w:hAnsi="Gill Sans MT" w:cstheme="minorBidi"/>
          <w:color w:val="auto"/>
        </w:rPr>
        <w:t xml:space="preserve"> Un deuxième PSL ne pourra être prescrit qu’après une évaluation clinique et biologique du patient après la première transfusion.</w:t>
      </w:r>
    </w:p>
    <w:p w:rsidR="0025086A" w:rsidRPr="00100F86" w:rsidRDefault="0025086A" w:rsidP="0025086A">
      <w:pPr>
        <w:pStyle w:val="Default"/>
        <w:jc w:val="both"/>
        <w:rPr>
          <w:rFonts w:ascii="Gill Sans MT" w:hAnsi="Gill Sans MT" w:cstheme="minorBidi"/>
          <w:color w:val="auto"/>
        </w:rPr>
      </w:pPr>
      <w:r w:rsidRPr="00100F86">
        <w:rPr>
          <w:rFonts w:ascii="Gill Sans MT" w:hAnsi="Gill Sans MT" w:cstheme="minorBidi"/>
          <w:color w:val="auto"/>
        </w:rPr>
        <w:t>L’IDE restera à votre chevet pendant toute la durée de la transfusion (1 heure 45 à 2 heures en fonction de votre poids et de la qualité de l’accès veineux).</w:t>
      </w:r>
    </w:p>
    <w:p w:rsidR="0025086A" w:rsidRDefault="0025086A" w:rsidP="0025086A">
      <w:pPr>
        <w:pStyle w:val="Default"/>
        <w:jc w:val="both"/>
        <w:rPr>
          <w:rFonts w:ascii="Gill Sans MT" w:hAnsi="Gill Sans MT" w:cstheme="minorBidi"/>
          <w:color w:val="auto"/>
        </w:rPr>
      </w:pPr>
      <w:r w:rsidRPr="004F013B">
        <w:rPr>
          <w:rFonts w:ascii="Gill Sans MT" w:hAnsi="Gill Sans MT" w:cstheme="minorBidi"/>
          <w:color w:val="FF0000"/>
        </w:rPr>
        <w:t>Un proche devra obligatoirement pouvoir rester à vos côtés pendant deux heures après la fin de la transfusion.</w:t>
      </w:r>
      <w:r w:rsidR="004672DA" w:rsidRPr="004F013B">
        <w:rPr>
          <w:rFonts w:ascii="Gill Sans MT" w:hAnsi="Gill Sans MT" w:cstheme="minorBidi"/>
          <w:color w:val="FF0000"/>
        </w:rPr>
        <w:t xml:space="preserve"> </w:t>
      </w:r>
      <w:r w:rsidR="004672DA" w:rsidRPr="004672DA">
        <w:rPr>
          <w:rFonts w:ascii="Gill Sans MT" w:hAnsi="Gill Sans MT" w:cstheme="minorBidi"/>
          <w:color w:val="FF0000"/>
        </w:rPr>
        <w:t xml:space="preserve">L’IDE vous contactera au décours des 2 heures </w:t>
      </w:r>
      <w:proofErr w:type="spellStart"/>
      <w:r w:rsidR="004672DA" w:rsidRPr="004672DA">
        <w:rPr>
          <w:rFonts w:ascii="Gill Sans MT" w:hAnsi="Gill Sans MT" w:cstheme="minorBidi"/>
          <w:color w:val="FF0000"/>
        </w:rPr>
        <w:t>post-transfusionelles</w:t>
      </w:r>
      <w:proofErr w:type="spellEnd"/>
      <w:r w:rsidR="004672DA" w:rsidRPr="004672DA">
        <w:rPr>
          <w:rFonts w:ascii="Gill Sans MT" w:hAnsi="Gill Sans MT" w:cstheme="minorBidi"/>
          <w:color w:val="FF0000"/>
        </w:rPr>
        <w:t>.</w:t>
      </w:r>
    </w:p>
    <w:p w:rsidR="0090642D" w:rsidRDefault="0090642D" w:rsidP="0025086A">
      <w:pPr>
        <w:pStyle w:val="Default"/>
        <w:jc w:val="both"/>
        <w:rPr>
          <w:rFonts w:ascii="Gill Sans MT" w:hAnsi="Gill Sans MT" w:cstheme="minorBidi"/>
          <w:color w:val="auto"/>
        </w:rPr>
      </w:pPr>
    </w:p>
    <w:p w:rsidR="0090642D" w:rsidRDefault="0090642D" w:rsidP="0025086A">
      <w:pPr>
        <w:pStyle w:val="Default"/>
        <w:jc w:val="both"/>
        <w:rPr>
          <w:rFonts w:ascii="Gill Sans MT" w:hAnsi="Gill Sans MT" w:cstheme="minorBidi"/>
          <w:color w:val="auto"/>
        </w:rPr>
      </w:pPr>
    </w:p>
    <w:p w:rsidR="0025086A" w:rsidRPr="00100F86" w:rsidRDefault="0025086A" w:rsidP="0025086A">
      <w:pPr>
        <w:pStyle w:val="Default"/>
        <w:jc w:val="both"/>
        <w:rPr>
          <w:rFonts w:ascii="Gill Sans MT" w:hAnsi="Gill Sans MT" w:cstheme="minorBidi"/>
          <w:color w:val="auto"/>
        </w:rPr>
      </w:pPr>
    </w:p>
    <w:p w:rsidR="0025086A" w:rsidRPr="002900E3" w:rsidRDefault="0025086A" w:rsidP="0025086A">
      <w:pPr>
        <w:pStyle w:val="Default"/>
        <w:jc w:val="both"/>
        <w:rPr>
          <w:rFonts w:ascii="Gill Sans MT" w:hAnsi="Gill Sans MT" w:cstheme="minorBidi"/>
          <w:color w:val="auto"/>
        </w:rPr>
      </w:pPr>
      <w:r w:rsidRPr="002900E3">
        <w:rPr>
          <w:rFonts w:ascii="Gill Sans MT" w:hAnsi="Gill Sans MT" w:cstheme="minorBidi"/>
          <w:b/>
          <w:color w:val="FF0000"/>
          <w:u w:val="single"/>
        </w:rPr>
        <w:t>Vous (ou votre proche) devrez contacter le numéro de l’astreinte infirmière de votre secteur et le 15 si non réponse,</w:t>
      </w:r>
      <w:r w:rsidRPr="002900E3">
        <w:rPr>
          <w:rFonts w:ascii="Gill Sans MT" w:hAnsi="Gill Sans MT" w:cstheme="minorBidi"/>
          <w:color w:val="FF0000"/>
        </w:rPr>
        <w:t xml:space="preserve"> </w:t>
      </w:r>
      <w:r w:rsidRPr="002900E3">
        <w:rPr>
          <w:rFonts w:ascii="Gill Sans MT" w:hAnsi="Gill Sans MT" w:cstheme="minorBidi"/>
          <w:color w:val="auto"/>
        </w:rPr>
        <w:t>en cas d’apparition des signes suivants au décours de la transfusion :</w:t>
      </w:r>
    </w:p>
    <w:p w:rsidR="0025086A" w:rsidRPr="002900E3" w:rsidRDefault="0090642D" w:rsidP="0025086A">
      <w:pPr>
        <w:pStyle w:val="Default"/>
        <w:numPr>
          <w:ilvl w:val="0"/>
          <w:numId w:val="26"/>
        </w:numPr>
        <w:jc w:val="both"/>
        <w:rPr>
          <w:rFonts w:ascii="Gill Sans MT" w:hAnsi="Gill Sans MT" w:cstheme="minorBidi"/>
          <w:b/>
          <w:color w:val="auto"/>
        </w:rPr>
      </w:pPr>
      <w:proofErr w:type="gramStart"/>
      <w:r>
        <w:rPr>
          <w:rFonts w:ascii="Gill Sans MT" w:hAnsi="Gill Sans MT" w:cstheme="minorBidi"/>
          <w:b/>
          <w:color w:val="auto"/>
        </w:rPr>
        <w:t>f</w:t>
      </w:r>
      <w:r w:rsidR="0025086A" w:rsidRPr="002900E3">
        <w:rPr>
          <w:rFonts w:ascii="Gill Sans MT" w:hAnsi="Gill Sans MT" w:cstheme="minorBidi"/>
          <w:b/>
          <w:color w:val="auto"/>
        </w:rPr>
        <w:t>ièvre</w:t>
      </w:r>
      <w:proofErr w:type="gramEnd"/>
      <w:r w:rsidR="0025086A" w:rsidRPr="002900E3">
        <w:rPr>
          <w:rFonts w:ascii="Gill Sans MT" w:hAnsi="Gill Sans MT" w:cstheme="minorBidi"/>
          <w:b/>
          <w:color w:val="auto"/>
        </w:rPr>
        <w:t xml:space="preserve">, </w:t>
      </w:r>
    </w:p>
    <w:p w:rsidR="0025086A" w:rsidRPr="002900E3" w:rsidRDefault="0025086A" w:rsidP="0025086A">
      <w:pPr>
        <w:pStyle w:val="Default"/>
        <w:numPr>
          <w:ilvl w:val="0"/>
          <w:numId w:val="26"/>
        </w:numPr>
        <w:jc w:val="both"/>
        <w:rPr>
          <w:rFonts w:ascii="Gill Sans MT" w:hAnsi="Gill Sans MT" w:cstheme="minorBidi"/>
          <w:b/>
          <w:color w:val="auto"/>
        </w:rPr>
      </w:pPr>
      <w:proofErr w:type="gramStart"/>
      <w:r w:rsidRPr="002900E3">
        <w:rPr>
          <w:rFonts w:ascii="Gill Sans MT" w:hAnsi="Gill Sans MT" w:cstheme="minorBidi"/>
          <w:b/>
          <w:color w:val="auto"/>
        </w:rPr>
        <w:t>difficultés</w:t>
      </w:r>
      <w:proofErr w:type="gramEnd"/>
      <w:r w:rsidRPr="002900E3">
        <w:rPr>
          <w:rFonts w:ascii="Gill Sans MT" w:hAnsi="Gill Sans MT" w:cstheme="minorBidi"/>
          <w:b/>
          <w:color w:val="auto"/>
        </w:rPr>
        <w:t xml:space="preserve"> respiratoire</w:t>
      </w:r>
      <w:r>
        <w:rPr>
          <w:rFonts w:ascii="Gill Sans MT" w:hAnsi="Gill Sans MT" w:cstheme="minorBidi"/>
          <w:b/>
          <w:color w:val="auto"/>
        </w:rPr>
        <w:t>s</w:t>
      </w:r>
      <w:r w:rsidRPr="002900E3">
        <w:rPr>
          <w:rFonts w:ascii="Gill Sans MT" w:hAnsi="Gill Sans MT" w:cstheme="minorBidi"/>
          <w:b/>
          <w:color w:val="auto"/>
        </w:rPr>
        <w:t xml:space="preserve">, </w:t>
      </w:r>
    </w:p>
    <w:p w:rsidR="0025086A" w:rsidRPr="002900E3" w:rsidRDefault="0025086A" w:rsidP="0025086A">
      <w:pPr>
        <w:pStyle w:val="Default"/>
        <w:numPr>
          <w:ilvl w:val="0"/>
          <w:numId w:val="26"/>
        </w:numPr>
        <w:jc w:val="both"/>
        <w:rPr>
          <w:rFonts w:ascii="Gill Sans MT" w:hAnsi="Gill Sans MT" w:cstheme="minorBidi"/>
          <w:b/>
          <w:color w:val="auto"/>
        </w:rPr>
      </w:pPr>
      <w:proofErr w:type="gramStart"/>
      <w:r w:rsidRPr="002900E3">
        <w:rPr>
          <w:rFonts w:ascii="Gill Sans MT" w:hAnsi="Gill Sans MT" w:cstheme="minorBidi"/>
          <w:b/>
          <w:color w:val="auto"/>
        </w:rPr>
        <w:t>douleur</w:t>
      </w:r>
      <w:proofErr w:type="gramEnd"/>
      <w:r w:rsidRPr="002900E3">
        <w:rPr>
          <w:rFonts w:ascii="Gill Sans MT" w:hAnsi="Gill Sans MT" w:cstheme="minorBidi"/>
          <w:b/>
          <w:color w:val="auto"/>
        </w:rPr>
        <w:t xml:space="preserve">, </w:t>
      </w:r>
    </w:p>
    <w:p w:rsidR="0025086A" w:rsidRPr="002900E3" w:rsidRDefault="0025086A" w:rsidP="0025086A">
      <w:pPr>
        <w:pStyle w:val="Default"/>
        <w:numPr>
          <w:ilvl w:val="0"/>
          <w:numId w:val="26"/>
        </w:numPr>
        <w:jc w:val="both"/>
        <w:rPr>
          <w:rFonts w:ascii="Gill Sans MT" w:hAnsi="Gill Sans MT" w:cstheme="minorBidi"/>
          <w:b/>
          <w:color w:val="auto"/>
        </w:rPr>
      </w:pPr>
      <w:proofErr w:type="gramStart"/>
      <w:r w:rsidRPr="002900E3">
        <w:rPr>
          <w:rFonts w:ascii="Gill Sans MT" w:hAnsi="Gill Sans MT" w:cstheme="minorBidi"/>
          <w:b/>
          <w:color w:val="auto"/>
        </w:rPr>
        <w:t>coloration</w:t>
      </w:r>
      <w:proofErr w:type="gramEnd"/>
      <w:r w:rsidRPr="002900E3">
        <w:rPr>
          <w:rFonts w:ascii="Gill Sans MT" w:hAnsi="Gill Sans MT" w:cstheme="minorBidi"/>
          <w:b/>
          <w:color w:val="auto"/>
        </w:rPr>
        <w:t xml:space="preserve"> anormale des urines, </w:t>
      </w:r>
    </w:p>
    <w:p w:rsidR="0025086A" w:rsidRPr="002900E3" w:rsidRDefault="0025086A" w:rsidP="0025086A">
      <w:pPr>
        <w:pStyle w:val="Default"/>
        <w:numPr>
          <w:ilvl w:val="0"/>
          <w:numId w:val="26"/>
        </w:numPr>
        <w:jc w:val="both"/>
        <w:rPr>
          <w:rFonts w:ascii="Gill Sans MT" w:hAnsi="Gill Sans MT" w:cstheme="minorBidi"/>
          <w:b/>
          <w:color w:val="auto"/>
        </w:rPr>
      </w:pPr>
      <w:proofErr w:type="gramStart"/>
      <w:r w:rsidRPr="002900E3">
        <w:rPr>
          <w:rFonts w:ascii="Gill Sans MT" w:hAnsi="Gill Sans MT" w:cstheme="minorBidi"/>
          <w:b/>
          <w:color w:val="auto"/>
        </w:rPr>
        <w:t>rash</w:t>
      </w:r>
      <w:proofErr w:type="gramEnd"/>
      <w:r w:rsidRPr="002900E3">
        <w:rPr>
          <w:rFonts w:ascii="Gill Sans MT" w:hAnsi="Gill Sans MT" w:cstheme="minorBidi"/>
          <w:b/>
          <w:color w:val="auto"/>
        </w:rPr>
        <w:t xml:space="preserve"> cutané.</w:t>
      </w:r>
    </w:p>
    <w:p w:rsidR="0025086A" w:rsidRPr="00100F86" w:rsidRDefault="0025086A" w:rsidP="0025086A">
      <w:pPr>
        <w:pStyle w:val="Default"/>
        <w:jc w:val="both"/>
        <w:rPr>
          <w:rFonts w:ascii="Gill Sans MT" w:hAnsi="Gill Sans MT" w:cstheme="minorBidi"/>
          <w:color w:val="auto"/>
        </w:rPr>
      </w:pPr>
    </w:p>
    <w:p w:rsidR="0025086A" w:rsidRPr="00100F86" w:rsidRDefault="0025086A" w:rsidP="009064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b/>
          <w:bCs/>
          <w:color w:val="000000"/>
          <w:sz w:val="24"/>
          <w:szCs w:val="24"/>
        </w:rPr>
        <w:t>Les examens biologiques après la transfusion de CGR</w:t>
      </w:r>
    </w:p>
    <w:p w:rsidR="0090642D" w:rsidRDefault="0090642D" w:rsidP="0090642D">
      <w:pPr>
        <w:pStyle w:val="Paragraphedeliste"/>
        <w:autoSpaceDE w:val="0"/>
        <w:autoSpaceDN w:val="0"/>
        <w:adjustRightInd w:val="0"/>
        <w:spacing w:after="0" w:line="240" w:lineRule="auto"/>
        <w:ind w:left="284"/>
        <w:jc w:val="both"/>
        <w:rPr>
          <w:rFonts w:ascii="Gill Sans MT" w:hAnsi="Gill Sans MT" w:cs="Arial"/>
          <w:color w:val="000000"/>
        </w:rPr>
      </w:pPr>
    </w:p>
    <w:p w:rsidR="0025086A" w:rsidRPr="0026403D" w:rsidRDefault="0025086A" w:rsidP="0025086A">
      <w:pPr>
        <w:pStyle w:val="Paragraphedeliste"/>
        <w:numPr>
          <w:ilvl w:val="0"/>
          <w:numId w:val="26"/>
        </w:numPr>
        <w:autoSpaceDE w:val="0"/>
        <w:autoSpaceDN w:val="0"/>
        <w:adjustRightInd w:val="0"/>
        <w:spacing w:after="0" w:line="240" w:lineRule="auto"/>
        <w:ind w:left="284" w:hanging="284"/>
        <w:jc w:val="both"/>
        <w:rPr>
          <w:rFonts w:ascii="Gill Sans MT" w:hAnsi="Gill Sans MT" w:cs="Arial"/>
          <w:color w:val="000000"/>
        </w:rPr>
      </w:pPr>
      <w:r w:rsidRPr="0026403D">
        <w:rPr>
          <w:rFonts w:ascii="Gill Sans MT" w:hAnsi="Gill Sans MT" w:cs="Arial"/>
          <w:color w:val="000000"/>
        </w:rPr>
        <w:t xml:space="preserve">Après un épisode transfusionnel et à distance de celui-ci (3 semaines à 3 mois), il est nécessaire de pratiquer un contrôle sanguin (RAI) pour rechercher la présence éventuelle d’anticorps irréguliers consécutifs aux transfusions précédentes. </w:t>
      </w:r>
    </w:p>
    <w:p w:rsidR="0025086A" w:rsidRDefault="0025086A" w:rsidP="0025086A">
      <w:pPr>
        <w:autoSpaceDE w:val="0"/>
        <w:autoSpaceDN w:val="0"/>
        <w:adjustRightInd w:val="0"/>
        <w:spacing w:after="0" w:line="240" w:lineRule="auto"/>
        <w:ind w:left="284"/>
        <w:jc w:val="both"/>
        <w:rPr>
          <w:rFonts w:ascii="Gill Sans MT" w:hAnsi="Gill Sans MT" w:cs="Arial"/>
          <w:color w:val="000000"/>
          <w:sz w:val="24"/>
          <w:szCs w:val="24"/>
        </w:rPr>
      </w:pPr>
      <w:r w:rsidRPr="00100F86">
        <w:rPr>
          <w:rFonts w:ascii="Gill Sans MT" w:hAnsi="Gill Sans MT" w:cs="Arial"/>
          <w:color w:val="000000"/>
          <w:sz w:val="24"/>
          <w:szCs w:val="24"/>
        </w:rPr>
        <w:t xml:space="preserve">Si vous avez connaissance que des anticorps irréguliers ont été détectés (notion de RAI positive), il est important, pour votre sécurité, de le signaler au médecin, en cas de nouvelle transfusion. </w:t>
      </w: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Pr="0090642D" w:rsidRDefault="0025086A" w:rsidP="0025086A">
      <w:pPr>
        <w:pStyle w:val="Paragraphedeliste"/>
        <w:numPr>
          <w:ilvl w:val="0"/>
          <w:numId w:val="26"/>
        </w:numPr>
        <w:autoSpaceDE w:val="0"/>
        <w:autoSpaceDN w:val="0"/>
        <w:adjustRightInd w:val="0"/>
        <w:spacing w:after="0" w:line="240" w:lineRule="auto"/>
        <w:ind w:left="284" w:hanging="284"/>
        <w:jc w:val="both"/>
        <w:rPr>
          <w:rFonts w:ascii="Gill Sans MT" w:hAnsi="Gill Sans MT" w:cs="Wingdings"/>
          <w:color w:val="000000"/>
          <w:sz w:val="24"/>
        </w:rPr>
      </w:pPr>
      <w:r w:rsidRPr="0090642D">
        <w:rPr>
          <w:rFonts w:ascii="Gill Sans MT" w:hAnsi="Gill Sans MT" w:cs="Wingdings"/>
          <w:color w:val="000000"/>
          <w:sz w:val="24"/>
        </w:rPr>
        <w:t xml:space="preserve">Après plusieurs épisodes transfusionnel (20 PSL) et en l’absence de saignement, un dosage de </w:t>
      </w:r>
      <w:proofErr w:type="spellStart"/>
      <w:r w:rsidRPr="0090642D">
        <w:rPr>
          <w:rFonts w:ascii="Gill Sans MT" w:hAnsi="Gill Sans MT" w:cs="Wingdings"/>
          <w:color w:val="000000"/>
          <w:sz w:val="24"/>
        </w:rPr>
        <w:t>Ferritinémie</w:t>
      </w:r>
      <w:proofErr w:type="spellEnd"/>
      <w:r w:rsidRPr="0090642D">
        <w:rPr>
          <w:rFonts w:ascii="Gill Sans MT" w:hAnsi="Gill Sans MT" w:cs="Wingdings"/>
          <w:color w:val="000000"/>
          <w:sz w:val="24"/>
        </w:rPr>
        <w:t xml:space="preserve"> peut être demandé par votre médecin afin de dépister une éventuelle surcharge en fer lié à des transfusions itératives.</w:t>
      </w:r>
    </w:p>
    <w:p w:rsidR="0025086A" w:rsidRPr="00100F86" w:rsidRDefault="0025086A" w:rsidP="0025086A">
      <w:pPr>
        <w:pStyle w:val="Paragraphedeliste"/>
        <w:autoSpaceDE w:val="0"/>
        <w:autoSpaceDN w:val="0"/>
        <w:adjustRightInd w:val="0"/>
        <w:ind w:left="284"/>
        <w:jc w:val="both"/>
        <w:rPr>
          <w:rFonts w:ascii="Gill Sans MT" w:hAnsi="Gill Sans MT" w:cs="Wingdings"/>
          <w:color w:val="000000"/>
        </w:rPr>
      </w:pPr>
    </w:p>
    <w:p w:rsidR="0025086A" w:rsidRPr="00100F86" w:rsidRDefault="0025086A" w:rsidP="00250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b/>
          <w:bCs/>
          <w:color w:val="000000"/>
          <w:sz w:val="24"/>
          <w:szCs w:val="24"/>
        </w:rPr>
        <w:t>Les documents remis et l'importance de leur conservation</w:t>
      </w: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 xml:space="preserve">Après une transfusion, il </w:t>
      </w:r>
      <w:r>
        <w:rPr>
          <w:rFonts w:ascii="Gill Sans MT" w:hAnsi="Gill Sans MT" w:cs="Arial"/>
          <w:color w:val="000000"/>
          <w:sz w:val="24"/>
          <w:szCs w:val="24"/>
        </w:rPr>
        <w:t xml:space="preserve">vous </w:t>
      </w:r>
      <w:r w:rsidRPr="00100F86">
        <w:rPr>
          <w:rFonts w:ascii="Gill Sans MT" w:hAnsi="Gill Sans MT" w:cs="Arial"/>
          <w:color w:val="000000"/>
          <w:sz w:val="24"/>
          <w:szCs w:val="24"/>
        </w:rPr>
        <w:t xml:space="preserve">est remis, avant la sortie de l’HAD, un document écrit comportant la date des transfusions, le type et le nombre des produits sanguins labiles reçus. Il est important de conserver ce document avec soin et de le montrer à son médecin traitant. Il en a besoin pour assurer un suivi médical de qualité. </w:t>
      </w: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 xml:space="preserve">En cas de transfusions régulières, ces informations peuvent être reportées sur un document récapitulatif. </w:t>
      </w:r>
    </w:p>
    <w:p w:rsidR="0025086A" w:rsidRPr="00100F86"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 xml:space="preserve">En fonction de l'évolution des connaissances scientifiques, il pourrait être important de recontacter les personnes transfusées. C'est pourquoi, il est utile que vous informiez de la transfusion votre médecin traitant, notamment si vous en changez. </w:t>
      </w: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r w:rsidRPr="00100F86">
        <w:rPr>
          <w:rFonts w:ascii="Gill Sans MT" w:hAnsi="Gill Sans MT" w:cs="Arial"/>
          <w:color w:val="000000"/>
          <w:sz w:val="24"/>
          <w:szCs w:val="24"/>
        </w:rPr>
        <w:t>Dans le cadre de la réglementation européenne votre dossier transfusionnel sera conservé pendant 30 ans au sein de l’établissement dans lequel vous av</w:t>
      </w:r>
      <w:r>
        <w:rPr>
          <w:rFonts w:ascii="Gill Sans MT" w:hAnsi="Gill Sans MT" w:cs="Arial"/>
          <w:color w:val="000000"/>
          <w:sz w:val="24"/>
          <w:szCs w:val="24"/>
        </w:rPr>
        <w:t>ez</w:t>
      </w:r>
      <w:r w:rsidRPr="00100F86">
        <w:rPr>
          <w:rFonts w:ascii="Gill Sans MT" w:hAnsi="Gill Sans MT" w:cs="Arial"/>
          <w:color w:val="000000"/>
          <w:sz w:val="24"/>
          <w:szCs w:val="24"/>
        </w:rPr>
        <w:t xml:space="preserve"> été transfusé.</w:t>
      </w: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Default="0025086A" w:rsidP="0025086A">
      <w:pPr>
        <w:autoSpaceDE w:val="0"/>
        <w:autoSpaceDN w:val="0"/>
        <w:adjustRightInd w:val="0"/>
        <w:spacing w:after="0" w:line="240" w:lineRule="auto"/>
        <w:jc w:val="both"/>
        <w:rPr>
          <w:rFonts w:ascii="Gill Sans MT" w:hAnsi="Gill Sans MT" w:cs="Arial"/>
          <w:color w:val="000000"/>
          <w:sz w:val="24"/>
          <w:szCs w:val="24"/>
        </w:rPr>
      </w:pPr>
    </w:p>
    <w:p w:rsidR="0025086A" w:rsidRDefault="0025086A" w:rsidP="0025086A">
      <w:pPr>
        <w:autoSpaceDE w:val="0"/>
        <w:autoSpaceDN w:val="0"/>
        <w:adjustRightInd w:val="0"/>
        <w:spacing w:after="0" w:line="240" w:lineRule="auto"/>
        <w:jc w:val="center"/>
        <w:rPr>
          <w:rFonts w:ascii="Gill Sans MT" w:hAnsi="Gill Sans MT" w:cs="Arial"/>
          <w:color w:val="000000"/>
          <w:sz w:val="24"/>
          <w:szCs w:val="24"/>
        </w:rPr>
      </w:pPr>
      <w:r>
        <w:rPr>
          <w:rFonts w:ascii="Gill Sans MT" w:hAnsi="Gill Sans MT" w:cs="Arial"/>
          <w:color w:val="000000"/>
          <w:sz w:val="24"/>
          <w:szCs w:val="24"/>
        </w:rPr>
        <w:t>-------------------------------------------------------------------------------------------------</w:t>
      </w:r>
    </w:p>
    <w:p w:rsidR="0025086A" w:rsidRDefault="0025086A" w:rsidP="0025086A">
      <w:pPr>
        <w:autoSpaceDE w:val="0"/>
        <w:autoSpaceDN w:val="0"/>
        <w:adjustRightInd w:val="0"/>
        <w:spacing w:after="0" w:line="240" w:lineRule="auto"/>
        <w:rPr>
          <w:rFonts w:ascii="Gill Sans MT" w:hAnsi="Gill Sans MT" w:cs="Tahoma"/>
          <w:sz w:val="24"/>
          <w:szCs w:val="24"/>
          <w:lang w:eastAsia="fr-FR"/>
        </w:rPr>
      </w:pPr>
    </w:p>
    <w:p w:rsidR="0025086A" w:rsidRDefault="0025086A" w:rsidP="0025086A">
      <w:pPr>
        <w:autoSpaceDE w:val="0"/>
        <w:autoSpaceDN w:val="0"/>
        <w:adjustRightInd w:val="0"/>
        <w:spacing w:after="0" w:line="240" w:lineRule="auto"/>
        <w:rPr>
          <w:rFonts w:ascii="Gill Sans MT" w:hAnsi="Gill Sans MT" w:cs="Tahoma"/>
          <w:sz w:val="24"/>
          <w:szCs w:val="24"/>
          <w:lang w:eastAsia="fr-FR"/>
        </w:rPr>
      </w:pPr>
    </w:p>
    <w:p w:rsidR="0025086A" w:rsidRDefault="0025086A" w:rsidP="0025086A">
      <w:pPr>
        <w:autoSpaceDE w:val="0"/>
        <w:autoSpaceDN w:val="0"/>
        <w:adjustRightInd w:val="0"/>
        <w:spacing w:after="0" w:line="240" w:lineRule="auto"/>
        <w:rPr>
          <w:rFonts w:ascii="Gill Sans MT" w:hAnsi="Gill Sans MT" w:cs="Tahoma"/>
          <w:sz w:val="24"/>
          <w:szCs w:val="24"/>
          <w:lang w:eastAsia="fr-FR"/>
        </w:rPr>
      </w:pPr>
    </w:p>
    <w:p w:rsidR="0025086A" w:rsidRPr="00FF3AE3" w:rsidRDefault="0025086A" w:rsidP="0025086A">
      <w:pPr>
        <w:autoSpaceDE w:val="0"/>
        <w:autoSpaceDN w:val="0"/>
        <w:adjustRightInd w:val="0"/>
        <w:spacing w:after="0" w:line="240" w:lineRule="auto"/>
        <w:rPr>
          <w:rFonts w:ascii="Gill Sans MT" w:hAnsi="Gill Sans MT"/>
          <w:color w:val="808080"/>
          <w:sz w:val="24"/>
          <w:szCs w:val="24"/>
        </w:rPr>
      </w:pPr>
      <w:r w:rsidRPr="00CE0BFD">
        <w:rPr>
          <w:rFonts w:ascii="Gill Sans MT" w:hAnsi="Gill Sans MT" w:cs="Tahoma"/>
          <w:b/>
          <w:sz w:val="24"/>
          <w:szCs w:val="24"/>
          <w:lang w:eastAsia="fr-FR"/>
        </w:rPr>
        <w:t>Date :</w:t>
      </w:r>
      <w:r w:rsidRPr="007168C0">
        <w:rPr>
          <w:rFonts w:ascii="Gill Sans MT" w:hAnsi="Gill Sans MT" w:cs="Tahoma"/>
          <w:sz w:val="24"/>
          <w:szCs w:val="24"/>
          <w:lang w:eastAsia="fr-FR"/>
        </w:rPr>
        <w:t xml:space="preserve"> </w:t>
      </w:r>
      <w:proofErr w:type="gramStart"/>
      <w:r w:rsidRPr="00FF3AE3">
        <w:rPr>
          <w:rFonts w:ascii="Gill Sans MT" w:hAnsi="Gill Sans MT"/>
          <w:color w:val="808080"/>
          <w:sz w:val="24"/>
          <w:szCs w:val="24"/>
        </w:rPr>
        <w:t>…….</w:t>
      </w:r>
      <w:proofErr w:type="gramEnd"/>
      <w:r w:rsidRPr="00FF3AE3">
        <w:rPr>
          <w:rFonts w:ascii="Gill Sans MT" w:hAnsi="Gill Sans MT"/>
          <w:color w:val="808080"/>
          <w:sz w:val="24"/>
          <w:szCs w:val="24"/>
        </w:rPr>
        <w:t>/……./…..….</w:t>
      </w:r>
    </w:p>
    <w:p w:rsidR="0025086A" w:rsidRDefault="0025086A" w:rsidP="0025086A">
      <w:pPr>
        <w:autoSpaceDE w:val="0"/>
        <w:autoSpaceDN w:val="0"/>
        <w:adjustRightInd w:val="0"/>
        <w:spacing w:after="0" w:line="240" w:lineRule="auto"/>
        <w:rPr>
          <w:rFonts w:ascii="Gill Sans MT" w:hAnsi="Gill Sans MT" w:cs="Tahoma"/>
          <w:sz w:val="24"/>
          <w:szCs w:val="24"/>
          <w:lang w:eastAsia="fr-FR"/>
        </w:rPr>
      </w:pPr>
    </w:p>
    <w:p w:rsidR="0025086A" w:rsidRDefault="0025086A" w:rsidP="0025086A">
      <w:pPr>
        <w:autoSpaceDE w:val="0"/>
        <w:autoSpaceDN w:val="0"/>
        <w:adjustRightInd w:val="0"/>
        <w:spacing w:after="0" w:line="240" w:lineRule="auto"/>
        <w:rPr>
          <w:rFonts w:ascii="Gill Sans MT" w:hAnsi="Gill Sans MT" w:cs="Tahoma"/>
          <w:sz w:val="24"/>
          <w:szCs w:val="24"/>
          <w:lang w:eastAsia="fr-FR"/>
        </w:rPr>
      </w:pPr>
    </w:p>
    <w:p w:rsidR="0025086A" w:rsidRDefault="0025086A" w:rsidP="0025086A">
      <w:pPr>
        <w:autoSpaceDE w:val="0"/>
        <w:autoSpaceDN w:val="0"/>
        <w:adjustRightInd w:val="0"/>
        <w:spacing w:after="0" w:line="240" w:lineRule="auto"/>
        <w:rPr>
          <w:rFonts w:ascii="Gill Sans MT" w:hAnsi="Gill Sans MT" w:cs="Tahoma"/>
          <w:sz w:val="24"/>
          <w:szCs w:val="24"/>
          <w:lang w:eastAsia="fr-FR"/>
        </w:rPr>
      </w:pPr>
    </w:p>
    <w:tbl>
      <w:tblPr>
        <w:tblStyle w:val="Grilledutableau"/>
        <w:tblW w:w="10993" w:type="dxa"/>
        <w:jc w:val="center"/>
        <w:tblLook w:val="04A0" w:firstRow="1" w:lastRow="0" w:firstColumn="1" w:lastColumn="0" w:noHBand="0" w:noVBand="1"/>
      </w:tblPr>
      <w:tblGrid>
        <w:gridCol w:w="3256"/>
        <w:gridCol w:w="3723"/>
        <w:gridCol w:w="4014"/>
      </w:tblGrid>
      <w:tr w:rsidR="0025086A" w:rsidTr="00BB238C">
        <w:trPr>
          <w:trHeight w:val="566"/>
          <w:jc w:val="center"/>
        </w:trPr>
        <w:tc>
          <w:tcPr>
            <w:tcW w:w="3256" w:type="dxa"/>
          </w:tcPr>
          <w:p w:rsidR="0025086A" w:rsidRPr="00CE0BFD" w:rsidRDefault="0025086A" w:rsidP="00BB238C">
            <w:pPr>
              <w:autoSpaceDE w:val="0"/>
              <w:autoSpaceDN w:val="0"/>
              <w:adjustRightInd w:val="0"/>
              <w:rPr>
                <w:rFonts w:ascii="Gill Sans MT" w:hAnsi="Gill Sans MT" w:cs="Tahoma"/>
                <w:b/>
                <w:sz w:val="24"/>
                <w:szCs w:val="24"/>
                <w:lang w:eastAsia="fr-FR"/>
              </w:rPr>
            </w:pPr>
            <w:r w:rsidRPr="00CE0BFD">
              <w:rPr>
                <w:rFonts w:ascii="Gill Sans MT" w:hAnsi="Gill Sans MT" w:cs="Tahoma"/>
                <w:b/>
                <w:sz w:val="24"/>
                <w:szCs w:val="24"/>
                <w:lang w:eastAsia="fr-FR"/>
              </w:rPr>
              <w:t>Patient</w:t>
            </w:r>
          </w:p>
          <w:p w:rsidR="0025086A" w:rsidRPr="00CE0BFD" w:rsidRDefault="0025086A" w:rsidP="00BB238C">
            <w:pPr>
              <w:autoSpaceDE w:val="0"/>
              <w:autoSpaceDN w:val="0"/>
              <w:adjustRightInd w:val="0"/>
              <w:rPr>
                <w:rFonts w:ascii="Gill Sans MT" w:hAnsi="Gill Sans MT" w:cs="Tahoma"/>
                <w:b/>
                <w:sz w:val="24"/>
                <w:szCs w:val="24"/>
                <w:lang w:eastAsia="fr-FR"/>
              </w:rPr>
            </w:pPr>
          </w:p>
        </w:tc>
        <w:tc>
          <w:tcPr>
            <w:tcW w:w="3723" w:type="dxa"/>
          </w:tcPr>
          <w:p w:rsidR="0025086A" w:rsidRPr="00CE0BFD" w:rsidRDefault="0025086A" w:rsidP="00BB238C">
            <w:pPr>
              <w:autoSpaceDE w:val="0"/>
              <w:autoSpaceDN w:val="0"/>
              <w:adjustRightInd w:val="0"/>
              <w:rPr>
                <w:rFonts w:ascii="Gill Sans MT" w:hAnsi="Gill Sans MT" w:cs="Tahoma"/>
                <w:b/>
                <w:sz w:val="24"/>
                <w:szCs w:val="24"/>
                <w:lang w:eastAsia="fr-FR"/>
              </w:rPr>
            </w:pPr>
            <w:r w:rsidRPr="00CE0BFD">
              <w:rPr>
                <w:rFonts w:ascii="Gill Sans MT" w:hAnsi="Gill Sans MT" w:cs="Tahoma"/>
                <w:b/>
                <w:sz w:val="24"/>
                <w:szCs w:val="24"/>
                <w:lang w:eastAsia="fr-FR"/>
              </w:rPr>
              <w:t>Proche</w:t>
            </w:r>
          </w:p>
        </w:tc>
        <w:tc>
          <w:tcPr>
            <w:tcW w:w="4014" w:type="dxa"/>
          </w:tcPr>
          <w:p w:rsidR="0025086A" w:rsidRPr="00CE0BFD" w:rsidRDefault="0025086A" w:rsidP="00BB238C">
            <w:pPr>
              <w:autoSpaceDE w:val="0"/>
              <w:autoSpaceDN w:val="0"/>
              <w:adjustRightInd w:val="0"/>
              <w:rPr>
                <w:rFonts w:ascii="Gill Sans MT" w:hAnsi="Gill Sans MT" w:cs="Tahoma"/>
                <w:b/>
                <w:sz w:val="24"/>
                <w:szCs w:val="24"/>
                <w:lang w:eastAsia="fr-FR"/>
              </w:rPr>
            </w:pPr>
            <w:r w:rsidRPr="00CE0BFD">
              <w:rPr>
                <w:rFonts w:ascii="Gill Sans MT" w:hAnsi="Gill Sans MT" w:cs="Tahoma"/>
                <w:b/>
                <w:sz w:val="24"/>
                <w:szCs w:val="24"/>
                <w:lang w:eastAsia="fr-FR"/>
              </w:rPr>
              <w:t>Tuteur légal</w:t>
            </w:r>
          </w:p>
        </w:tc>
      </w:tr>
      <w:tr w:rsidR="0025086A" w:rsidTr="00BB238C">
        <w:trPr>
          <w:trHeight w:val="2833"/>
          <w:jc w:val="center"/>
        </w:trPr>
        <w:tc>
          <w:tcPr>
            <w:tcW w:w="3256" w:type="dxa"/>
          </w:tcPr>
          <w:p w:rsidR="0025086A" w:rsidRDefault="0025086A" w:rsidP="00BB238C">
            <w:pPr>
              <w:autoSpaceDE w:val="0"/>
              <w:autoSpaceDN w:val="0"/>
              <w:adjustRightInd w:val="0"/>
              <w:rPr>
                <w:rFonts w:ascii="Gill Sans MT" w:hAnsi="Gill Sans MT"/>
                <w:b/>
                <w:sz w:val="24"/>
                <w:szCs w:val="24"/>
              </w:rPr>
            </w:pPr>
          </w:p>
          <w:p w:rsidR="0025086A" w:rsidRDefault="0025086A" w:rsidP="00BB238C">
            <w:pPr>
              <w:autoSpaceDE w:val="0"/>
              <w:autoSpaceDN w:val="0"/>
              <w:adjustRightInd w:val="0"/>
              <w:rPr>
                <w:rFonts w:ascii="Gill Sans MT" w:hAnsi="Gill Sans MT"/>
                <w:color w:val="808080"/>
                <w:sz w:val="24"/>
                <w:szCs w:val="24"/>
              </w:rPr>
            </w:pPr>
            <w:r w:rsidRPr="007168C0">
              <w:rPr>
                <w:rFonts w:ascii="Gill Sans MT" w:hAnsi="Gill Sans MT"/>
                <w:b/>
                <w:sz w:val="24"/>
                <w:szCs w:val="24"/>
              </w:rPr>
              <w:t>Nom</w:t>
            </w:r>
            <w:r w:rsidRPr="00A41FBE">
              <w:rPr>
                <w:rFonts w:ascii="Gill Sans MT" w:hAnsi="Gill Sans MT"/>
                <w:color w:val="808080"/>
                <w:sz w:val="24"/>
                <w:szCs w:val="24"/>
              </w:rPr>
              <w:t>……………………</w:t>
            </w:r>
          </w:p>
          <w:p w:rsidR="0025086A" w:rsidRDefault="0025086A" w:rsidP="00BB238C">
            <w:pPr>
              <w:autoSpaceDE w:val="0"/>
              <w:autoSpaceDN w:val="0"/>
              <w:adjustRightInd w:val="0"/>
              <w:rPr>
                <w:rFonts w:ascii="Gill Sans MT" w:hAnsi="Gill Sans MT"/>
                <w:b/>
                <w:sz w:val="24"/>
                <w:szCs w:val="24"/>
              </w:rPr>
            </w:pPr>
          </w:p>
          <w:p w:rsidR="0025086A" w:rsidRDefault="0025086A" w:rsidP="00BB238C">
            <w:pPr>
              <w:autoSpaceDE w:val="0"/>
              <w:autoSpaceDN w:val="0"/>
              <w:adjustRightInd w:val="0"/>
              <w:rPr>
                <w:rFonts w:ascii="Gill Sans MT" w:hAnsi="Gill Sans MT"/>
                <w:b/>
                <w:color w:val="808080"/>
                <w:sz w:val="24"/>
                <w:szCs w:val="24"/>
              </w:rPr>
            </w:pPr>
            <w:r w:rsidRPr="007168C0">
              <w:rPr>
                <w:rFonts w:ascii="Gill Sans MT" w:hAnsi="Gill Sans MT"/>
                <w:b/>
                <w:sz w:val="24"/>
                <w:szCs w:val="24"/>
              </w:rPr>
              <w:t xml:space="preserve">Prénom : </w:t>
            </w:r>
            <w:proofErr w:type="gramStart"/>
            <w:r w:rsidRPr="00A41FBE">
              <w:rPr>
                <w:rFonts w:ascii="Gill Sans MT" w:hAnsi="Gill Sans MT"/>
                <w:color w:val="808080"/>
                <w:sz w:val="24"/>
                <w:szCs w:val="24"/>
              </w:rPr>
              <w:t>…….</w:t>
            </w:r>
            <w:proofErr w:type="gramEnd"/>
            <w:r w:rsidRPr="00A41FBE">
              <w:rPr>
                <w:rFonts w:ascii="Gill Sans MT" w:hAnsi="Gill Sans MT"/>
                <w:color w:val="808080"/>
                <w:sz w:val="24"/>
                <w:szCs w:val="24"/>
              </w:rPr>
              <w:t>…………..</w:t>
            </w:r>
          </w:p>
          <w:p w:rsidR="0025086A" w:rsidRDefault="0025086A" w:rsidP="00BB238C">
            <w:pPr>
              <w:autoSpaceDE w:val="0"/>
              <w:autoSpaceDN w:val="0"/>
              <w:adjustRightInd w:val="0"/>
              <w:rPr>
                <w:rFonts w:ascii="Gill Sans MT" w:hAnsi="Gill Sans MT" w:cs="Tahoma"/>
                <w:sz w:val="24"/>
                <w:szCs w:val="24"/>
                <w:lang w:eastAsia="fr-FR"/>
              </w:rPr>
            </w:pPr>
          </w:p>
          <w:p w:rsidR="0025086A" w:rsidRDefault="0025086A" w:rsidP="00BB238C">
            <w:pPr>
              <w:autoSpaceDE w:val="0"/>
              <w:autoSpaceDN w:val="0"/>
              <w:adjustRightInd w:val="0"/>
              <w:rPr>
                <w:rStyle w:val="A2"/>
                <w:rFonts w:ascii="Gill Sans MT" w:hAnsi="Gill Sans MT"/>
                <w:sz w:val="24"/>
                <w:szCs w:val="24"/>
              </w:rPr>
            </w:pPr>
            <w:r w:rsidRPr="007168C0">
              <w:rPr>
                <w:rStyle w:val="A2"/>
                <w:rFonts w:ascii="Gill Sans MT" w:hAnsi="Gill Sans MT"/>
                <w:sz w:val="24"/>
                <w:szCs w:val="24"/>
              </w:rPr>
              <w:t>Signature</w:t>
            </w:r>
            <w:r>
              <w:rPr>
                <w:rStyle w:val="A2"/>
                <w:rFonts w:ascii="Gill Sans MT" w:hAnsi="Gill Sans MT"/>
                <w:sz w:val="24"/>
                <w:szCs w:val="24"/>
              </w:rPr>
              <w:t> :</w:t>
            </w:r>
          </w:p>
          <w:p w:rsidR="0025086A" w:rsidRDefault="0025086A" w:rsidP="00BB238C">
            <w:pPr>
              <w:autoSpaceDE w:val="0"/>
              <w:autoSpaceDN w:val="0"/>
              <w:adjustRightInd w:val="0"/>
              <w:rPr>
                <w:rFonts w:ascii="Gill Sans MT" w:hAnsi="Gill Sans MT" w:cs="Tahoma"/>
                <w:sz w:val="24"/>
                <w:szCs w:val="24"/>
                <w:lang w:eastAsia="fr-FR"/>
              </w:rPr>
            </w:pPr>
          </w:p>
        </w:tc>
        <w:tc>
          <w:tcPr>
            <w:tcW w:w="3723" w:type="dxa"/>
          </w:tcPr>
          <w:p w:rsidR="0025086A" w:rsidRDefault="0025086A" w:rsidP="00BB238C">
            <w:pPr>
              <w:autoSpaceDE w:val="0"/>
              <w:autoSpaceDN w:val="0"/>
              <w:adjustRightInd w:val="0"/>
              <w:rPr>
                <w:rFonts w:ascii="Gill Sans MT" w:hAnsi="Gill Sans MT"/>
                <w:b/>
                <w:sz w:val="24"/>
                <w:szCs w:val="24"/>
              </w:rPr>
            </w:pPr>
          </w:p>
          <w:p w:rsidR="0025086A" w:rsidRDefault="0025086A" w:rsidP="00BB238C">
            <w:pPr>
              <w:autoSpaceDE w:val="0"/>
              <w:autoSpaceDN w:val="0"/>
              <w:adjustRightInd w:val="0"/>
              <w:rPr>
                <w:rFonts w:ascii="Gill Sans MT" w:hAnsi="Gill Sans MT"/>
                <w:color w:val="808080"/>
                <w:sz w:val="24"/>
                <w:szCs w:val="24"/>
              </w:rPr>
            </w:pPr>
            <w:r w:rsidRPr="007168C0">
              <w:rPr>
                <w:rFonts w:ascii="Gill Sans MT" w:hAnsi="Gill Sans MT"/>
                <w:b/>
                <w:sz w:val="24"/>
                <w:szCs w:val="24"/>
              </w:rPr>
              <w:t>Nom</w:t>
            </w:r>
            <w:r w:rsidRPr="00A41FBE">
              <w:rPr>
                <w:rFonts w:ascii="Gill Sans MT" w:hAnsi="Gill Sans MT"/>
                <w:color w:val="808080"/>
                <w:sz w:val="24"/>
                <w:szCs w:val="24"/>
              </w:rPr>
              <w:t>………………………………</w:t>
            </w:r>
          </w:p>
          <w:p w:rsidR="0025086A" w:rsidRDefault="0025086A" w:rsidP="00BB238C">
            <w:pPr>
              <w:autoSpaceDE w:val="0"/>
              <w:autoSpaceDN w:val="0"/>
              <w:adjustRightInd w:val="0"/>
              <w:rPr>
                <w:rFonts w:ascii="Gill Sans MT" w:hAnsi="Gill Sans MT"/>
                <w:b/>
                <w:sz w:val="24"/>
                <w:szCs w:val="24"/>
              </w:rPr>
            </w:pPr>
          </w:p>
          <w:p w:rsidR="0025086A" w:rsidRDefault="0025086A" w:rsidP="00BB238C">
            <w:pPr>
              <w:autoSpaceDE w:val="0"/>
              <w:autoSpaceDN w:val="0"/>
              <w:adjustRightInd w:val="0"/>
              <w:rPr>
                <w:rFonts w:ascii="Gill Sans MT" w:hAnsi="Gill Sans MT"/>
                <w:b/>
                <w:color w:val="808080"/>
                <w:sz w:val="24"/>
                <w:szCs w:val="24"/>
              </w:rPr>
            </w:pPr>
            <w:r w:rsidRPr="007168C0">
              <w:rPr>
                <w:rFonts w:ascii="Gill Sans MT" w:hAnsi="Gill Sans MT"/>
                <w:b/>
                <w:sz w:val="24"/>
                <w:szCs w:val="24"/>
              </w:rPr>
              <w:t xml:space="preserve">Prénom : </w:t>
            </w:r>
            <w:proofErr w:type="gramStart"/>
            <w:r w:rsidRPr="00A41FBE">
              <w:rPr>
                <w:rFonts w:ascii="Gill Sans MT" w:hAnsi="Gill Sans MT"/>
                <w:color w:val="808080"/>
                <w:sz w:val="24"/>
                <w:szCs w:val="24"/>
              </w:rPr>
              <w:t>…….</w:t>
            </w:r>
            <w:proofErr w:type="gramEnd"/>
            <w:r w:rsidRPr="00A41FBE">
              <w:rPr>
                <w:rFonts w:ascii="Gill Sans MT" w:hAnsi="Gill Sans MT"/>
                <w:color w:val="808080"/>
                <w:sz w:val="24"/>
                <w:szCs w:val="24"/>
              </w:rPr>
              <w:t>…………………..</w:t>
            </w:r>
          </w:p>
          <w:p w:rsidR="0025086A" w:rsidRDefault="0025086A" w:rsidP="00BB238C">
            <w:pPr>
              <w:autoSpaceDE w:val="0"/>
              <w:autoSpaceDN w:val="0"/>
              <w:adjustRightInd w:val="0"/>
              <w:rPr>
                <w:rStyle w:val="A2"/>
                <w:rFonts w:ascii="Gill Sans MT" w:hAnsi="Gill Sans MT"/>
                <w:sz w:val="24"/>
                <w:szCs w:val="24"/>
              </w:rPr>
            </w:pPr>
          </w:p>
          <w:p w:rsidR="0025086A" w:rsidRDefault="0025086A" w:rsidP="00BB238C">
            <w:pPr>
              <w:autoSpaceDE w:val="0"/>
              <w:autoSpaceDN w:val="0"/>
              <w:adjustRightInd w:val="0"/>
              <w:rPr>
                <w:rFonts w:ascii="Gill Sans MT" w:hAnsi="Gill Sans MT" w:cs="Tahoma"/>
                <w:sz w:val="24"/>
                <w:szCs w:val="24"/>
                <w:lang w:eastAsia="fr-FR"/>
              </w:rPr>
            </w:pPr>
            <w:r w:rsidRPr="007168C0">
              <w:rPr>
                <w:rStyle w:val="A2"/>
                <w:rFonts w:ascii="Gill Sans MT" w:hAnsi="Gill Sans MT"/>
                <w:sz w:val="24"/>
                <w:szCs w:val="24"/>
              </w:rPr>
              <w:t>Signature :</w:t>
            </w:r>
          </w:p>
        </w:tc>
        <w:tc>
          <w:tcPr>
            <w:tcW w:w="4014" w:type="dxa"/>
          </w:tcPr>
          <w:p w:rsidR="0025086A" w:rsidRDefault="0025086A" w:rsidP="00BB238C">
            <w:pPr>
              <w:autoSpaceDE w:val="0"/>
              <w:autoSpaceDN w:val="0"/>
              <w:adjustRightInd w:val="0"/>
              <w:rPr>
                <w:rFonts w:ascii="Gill Sans MT" w:hAnsi="Gill Sans MT"/>
                <w:b/>
                <w:sz w:val="24"/>
                <w:szCs w:val="24"/>
              </w:rPr>
            </w:pPr>
          </w:p>
          <w:p w:rsidR="0025086A" w:rsidRDefault="0025086A" w:rsidP="00BB238C">
            <w:pPr>
              <w:autoSpaceDE w:val="0"/>
              <w:autoSpaceDN w:val="0"/>
              <w:adjustRightInd w:val="0"/>
              <w:rPr>
                <w:rFonts w:ascii="Gill Sans MT" w:hAnsi="Gill Sans MT"/>
                <w:color w:val="808080"/>
                <w:sz w:val="24"/>
                <w:szCs w:val="24"/>
              </w:rPr>
            </w:pPr>
            <w:r w:rsidRPr="007168C0">
              <w:rPr>
                <w:rFonts w:ascii="Gill Sans MT" w:hAnsi="Gill Sans MT"/>
                <w:b/>
                <w:sz w:val="24"/>
                <w:szCs w:val="24"/>
              </w:rPr>
              <w:t>Nom</w:t>
            </w:r>
            <w:r w:rsidRPr="00A41FBE">
              <w:rPr>
                <w:rFonts w:ascii="Gill Sans MT" w:hAnsi="Gill Sans MT"/>
                <w:color w:val="808080"/>
                <w:sz w:val="24"/>
                <w:szCs w:val="24"/>
              </w:rPr>
              <w:t>………………………………</w:t>
            </w:r>
          </w:p>
          <w:p w:rsidR="0025086A" w:rsidRDefault="0025086A" w:rsidP="00BB238C">
            <w:pPr>
              <w:autoSpaceDE w:val="0"/>
              <w:autoSpaceDN w:val="0"/>
              <w:adjustRightInd w:val="0"/>
              <w:rPr>
                <w:rFonts w:ascii="Gill Sans MT" w:hAnsi="Gill Sans MT"/>
                <w:b/>
                <w:sz w:val="24"/>
                <w:szCs w:val="24"/>
              </w:rPr>
            </w:pPr>
          </w:p>
          <w:p w:rsidR="0025086A" w:rsidRDefault="0025086A" w:rsidP="00BB238C">
            <w:pPr>
              <w:autoSpaceDE w:val="0"/>
              <w:autoSpaceDN w:val="0"/>
              <w:adjustRightInd w:val="0"/>
              <w:rPr>
                <w:rFonts w:ascii="Gill Sans MT" w:hAnsi="Gill Sans MT"/>
                <w:b/>
                <w:color w:val="808080"/>
                <w:sz w:val="24"/>
                <w:szCs w:val="24"/>
              </w:rPr>
            </w:pPr>
            <w:r w:rsidRPr="007168C0">
              <w:rPr>
                <w:rFonts w:ascii="Gill Sans MT" w:hAnsi="Gill Sans MT"/>
                <w:b/>
                <w:sz w:val="24"/>
                <w:szCs w:val="24"/>
              </w:rPr>
              <w:t xml:space="preserve">Prénom : </w:t>
            </w:r>
            <w:proofErr w:type="gramStart"/>
            <w:r w:rsidRPr="00A41FBE">
              <w:rPr>
                <w:rFonts w:ascii="Gill Sans MT" w:hAnsi="Gill Sans MT"/>
                <w:color w:val="808080"/>
                <w:sz w:val="24"/>
                <w:szCs w:val="24"/>
              </w:rPr>
              <w:t>…….</w:t>
            </w:r>
            <w:proofErr w:type="gramEnd"/>
            <w:r w:rsidRPr="00A41FBE">
              <w:rPr>
                <w:rFonts w:ascii="Gill Sans MT" w:hAnsi="Gill Sans MT"/>
                <w:color w:val="808080"/>
                <w:sz w:val="24"/>
                <w:szCs w:val="24"/>
              </w:rPr>
              <w:t>…………………..</w:t>
            </w:r>
          </w:p>
          <w:p w:rsidR="0025086A" w:rsidRDefault="0025086A" w:rsidP="00BB238C">
            <w:pPr>
              <w:autoSpaceDE w:val="0"/>
              <w:autoSpaceDN w:val="0"/>
              <w:adjustRightInd w:val="0"/>
              <w:rPr>
                <w:rStyle w:val="A2"/>
                <w:rFonts w:ascii="Gill Sans MT" w:hAnsi="Gill Sans MT"/>
                <w:sz w:val="24"/>
                <w:szCs w:val="24"/>
              </w:rPr>
            </w:pPr>
          </w:p>
          <w:p w:rsidR="0025086A" w:rsidRDefault="0025086A" w:rsidP="00BB238C">
            <w:pPr>
              <w:autoSpaceDE w:val="0"/>
              <w:autoSpaceDN w:val="0"/>
              <w:adjustRightInd w:val="0"/>
              <w:rPr>
                <w:rFonts w:ascii="Gill Sans MT" w:hAnsi="Gill Sans MT" w:cs="Tahoma"/>
                <w:sz w:val="24"/>
                <w:szCs w:val="24"/>
                <w:lang w:eastAsia="fr-FR"/>
              </w:rPr>
            </w:pPr>
            <w:r w:rsidRPr="007168C0">
              <w:rPr>
                <w:rStyle w:val="A2"/>
                <w:rFonts w:ascii="Gill Sans MT" w:hAnsi="Gill Sans MT"/>
                <w:sz w:val="24"/>
                <w:szCs w:val="24"/>
              </w:rPr>
              <w:t>Signature</w:t>
            </w:r>
            <w:r>
              <w:rPr>
                <w:rStyle w:val="A2"/>
                <w:rFonts w:ascii="Gill Sans MT" w:hAnsi="Gill Sans MT"/>
                <w:sz w:val="24"/>
                <w:szCs w:val="24"/>
              </w:rPr>
              <w:t> :</w:t>
            </w:r>
          </w:p>
        </w:tc>
      </w:tr>
    </w:tbl>
    <w:p w:rsidR="000B7276" w:rsidRPr="007F0ADB" w:rsidRDefault="000B7276" w:rsidP="003C5558">
      <w:pPr>
        <w:tabs>
          <w:tab w:val="left" w:pos="990"/>
        </w:tabs>
      </w:pPr>
      <w:bookmarkStart w:id="1" w:name="_GoBack"/>
      <w:bookmarkEnd w:id="1"/>
    </w:p>
    <w:sectPr w:rsidR="000B7276" w:rsidRPr="007F0ADB"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vOT735b620e">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dvOT735b620e+2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25086A" w:rsidP="007F0ADB">
    <w:pPr>
      <w:pStyle w:val="Pieddepage"/>
    </w:pPr>
    <w:r w:rsidRPr="0025086A">
      <w:rPr>
        <w:rFonts w:ascii="Arial" w:hAnsi="Arial" w:cs="Arial"/>
        <w:i/>
        <w:color w:val="000080"/>
        <w:sz w:val="12"/>
        <w:szCs w:val="16"/>
      </w:rPr>
      <w:t>HVCVL/HAD/TRANSFUSION/INFORMATIONS/PATIENT-PROCHES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4"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5"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6" w15:restartNumberingAfterBreak="0">
    <w:nsid w:val="19A34889"/>
    <w:multiLevelType w:val="hybridMultilevel"/>
    <w:tmpl w:val="3FDEA76E"/>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7"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8"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1"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425246"/>
    <w:multiLevelType w:val="hybridMultilevel"/>
    <w:tmpl w:val="18FC04C2"/>
    <w:lvl w:ilvl="0" w:tplc="DA3AA458">
      <w:numFmt w:val="bullet"/>
      <w:lvlText w:val="-"/>
      <w:lvlJc w:val="left"/>
      <w:pPr>
        <w:ind w:left="720" w:hanging="360"/>
      </w:pPr>
      <w:rPr>
        <w:rFonts w:ascii="Calibri" w:eastAsiaTheme="minorEastAsia" w:hAnsi="Calibri" w:cstheme="minorBidi"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8"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2" w15:restartNumberingAfterBreak="0">
    <w:nsid w:val="65066204"/>
    <w:multiLevelType w:val="hybridMultilevel"/>
    <w:tmpl w:val="3FDC555E"/>
    <w:lvl w:ilvl="0" w:tplc="DA3AA458">
      <w:numFmt w:val="bullet"/>
      <w:lvlText w:val="-"/>
      <w:lvlJc w:val="left"/>
      <w:pPr>
        <w:ind w:left="1080" w:hanging="360"/>
      </w:pPr>
      <w:rPr>
        <w:rFonts w:ascii="Calibri" w:eastAsiaTheme="minorEastAsia" w:hAnsi="Calibri" w:cstheme="minorBidi" w:hint="default"/>
        <w:color w:val="000000" w:themeColor="text1"/>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26"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3"/>
  </w:num>
  <w:num w:numId="4">
    <w:abstractNumId w:val="18"/>
  </w:num>
  <w:num w:numId="5">
    <w:abstractNumId w:val="20"/>
  </w:num>
  <w:num w:numId="6">
    <w:abstractNumId w:val="2"/>
  </w:num>
  <w:num w:numId="7">
    <w:abstractNumId w:val="11"/>
  </w:num>
  <w:num w:numId="8">
    <w:abstractNumId w:val="9"/>
  </w:num>
  <w:num w:numId="9">
    <w:abstractNumId w:val="19"/>
  </w:num>
  <w:num w:numId="10">
    <w:abstractNumId w:val="4"/>
  </w:num>
  <w:num w:numId="11">
    <w:abstractNumId w:val="6"/>
  </w:num>
  <w:num w:numId="12">
    <w:abstractNumId w:val="17"/>
  </w:num>
  <w:num w:numId="13">
    <w:abstractNumId w:val="3"/>
  </w:num>
  <w:num w:numId="14">
    <w:abstractNumId w:val="14"/>
  </w:num>
  <w:num w:numId="15">
    <w:abstractNumId w:val="26"/>
  </w:num>
  <w:num w:numId="16">
    <w:abstractNumId w:val="15"/>
  </w:num>
  <w:num w:numId="17">
    <w:abstractNumId w:val="8"/>
  </w:num>
  <w:num w:numId="18">
    <w:abstractNumId w:val="5"/>
  </w:num>
  <w:num w:numId="19">
    <w:abstractNumId w:val="21"/>
  </w:num>
  <w:num w:numId="20">
    <w:abstractNumId w:val="24"/>
  </w:num>
  <w:num w:numId="21">
    <w:abstractNumId w:val="1"/>
  </w:num>
  <w:num w:numId="22">
    <w:abstractNumId w:val="12"/>
  </w:num>
  <w:num w:numId="23">
    <w:abstractNumId w:val="25"/>
  </w:num>
  <w:num w:numId="24">
    <w:abstractNumId w:val="7"/>
  </w:num>
  <w:num w:numId="25">
    <w:abstractNumId w:val="22"/>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7276"/>
    <w:rsid w:val="0014394F"/>
    <w:rsid w:val="00186CD5"/>
    <w:rsid w:val="001F6AB9"/>
    <w:rsid w:val="0025086A"/>
    <w:rsid w:val="0025104A"/>
    <w:rsid w:val="00273F0A"/>
    <w:rsid w:val="0029033F"/>
    <w:rsid w:val="002A07E7"/>
    <w:rsid w:val="0033287C"/>
    <w:rsid w:val="0034566B"/>
    <w:rsid w:val="003A3BA2"/>
    <w:rsid w:val="003C5558"/>
    <w:rsid w:val="003E277C"/>
    <w:rsid w:val="003F109A"/>
    <w:rsid w:val="004672DA"/>
    <w:rsid w:val="00470594"/>
    <w:rsid w:val="004F013B"/>
    <w:rsid w:val="00526625"/>
    <w:rsid w:val="00554F14"/>
    <w:rsid w:val="005B050B"/>
    <w:rsid w:val="0061450D"/>
    <w:rsid w:val="006754D0"/>
    <w:rsid w:val="006C2B78"/>
    <w:rsid w:val="00734F1B"/>
    <w:rsid w:val="007C1278"/>
    <w:rsid w:val="007F0ADB"/>
    <w:rsid w:val="008F0DC7"/>
    <w:rsid w:val="0090642D"/>
    <w:rsid w:val="00936547"/>
    <w:rsid w:val="00982855"/>
    <w:rsid w:val="009E7C8D"/>
    <w:rsid w:val="00A80F10"/>
    <w:rsid w:val="00A84185"/>
    <w:rsid w:val="00B432ED"/>
    <w:rsid w:val="00B7265B"/>
    <w:rsid w:val="00BC63D7"/>
    <w:rsid w:val="00C1319D"/>
    <w:rsid w:val="00C331EA"/>
    <w:rsid w:val="00C80EFE"/>
    <w:rsid w:val="00C86FB0"/>
    <w:rsid w:val="00CA2275"/>
    <w:rsid w:val="00CE47D1"/>
    <w:rsid w:val="00D0718D"/>
    <w:rsid w:val="00D34273"/>
    <w:rsid w:val="00D806C2"/>
    <w:rsid w:val="00DC36D8"/>
    <w:rsid w:val="00E01806"/>
    <w:rsid w:val="00E2356D"/>
    <w:rsid w:val="00E365BE"/>
    <w:rsid w:val="00E71160"/>
    <w:rsid w:val="00E77183"/>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5D860E"/>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5086A"/>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Normal"/>
    <w:next w:val="Normal"/>
    <w:uiPriority w:val="99"/>
    <w:rsid w:val="0025086A"/>
    <w:pPr>
      <w:autoSpaceDE w:val="0"/>
      <w:autoSpaceDN w:val="0"/>
      <w:adjustRightInd w:val="0"/>
      <w:spacing w:after="0" w:line="241" w:lineRule="atLeast"/>
    </w:pPr>
    <w:rPr>
      <w:rFonts w:ascii="Calibri" w:eastAsia="Calibri" w:hAnsi="Calibri" w:cs="Times New Roman"/>
      <w:sz w:val="24"/>
      <w:szCs w:val="24"/>
      <w:lang w:eastAsia="fr-FR"/>
    </w:rPr>
  </w:style>
  <w:style w:type="character" w:customStyle="1" w:styleId="A2">
    <w:name w:val="A2"/>
    <w:uiPriority w:val="99"/>
    <w:rsid w:val="0025086A"/>
    <w:rPr>
      <w:rFonts w:cs="Calibri"/>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1431</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32</cp:revision>
  <dcterms:created xsi:type="dcterms:W3CDTF">2020-10-16T12:52:00Z</dcterms:created>
  <dcterms:modified xsi:type="dcterms:W3CDTF">2022-01-04T10:26:00Z</dcterms:modified>
</cp:coreProperties>
</file>