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CA2275" w:rsidP="005429B7">
            <w:r>
              <w:rPr>
                <w:sz w:val="24"/>
              </w:rPr>
              <w:t>HVCVL/HAD/TRANSFUSION/</w:t>
            </w:r>
            <w:r w:rsidR="005429B7">
              <w:rPr>
                <w:sz w:val="24"/>
              </w:rPr>
              <w:t>GESTION-PSL-CULM-DASRI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CA2275">
              <w:rPr>
                <w:b w:val="0"/>
                <w:sz w:val="18"/>
              </w:rPr>
              <w:t>12/2021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CA2275">
              <w:rPr>
                <w:b w:val="0"/>
                <w:sz w:val="18"/>
              </w:rPr>
              <w:t>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CA2275">
              <w:rPr>
                <w:b w:val="0"/>
                <w:sz w:val="18"/>
              </w:rPr>
              <w:t>01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102438</wp:posOffset>
                </wp:positionV>
                <wp:extent cx="5745167" cy="314554"/>
                <wp:effectExtent l="0" t="0" r="2730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3145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5429B7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Gestion des PSL, CULM et DASRI</w:t>
                            </w:r>
                            <w:r w:rsidR="00906F2F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05pt;width:452.4pt;height:2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" fillcolor="#5b9bd5 [3204]" strokecolor="#1f4d78 [1604]" strokeweight="1pt">
                <v:textbox>
                  <w:txbxContent>
                    <w:p w:rsidR="00FC530B" w:rsidRPr="00FC530B" w:rsidRDefault="005429B7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Gestion des PSL, CULM et DASRI</w:t>
                      </w:r>
                      <w:r w:rsidR="00906F2F">
                        <w:rPr>
                          <w:b/>
                          <w:sz w:val="28"/>
                        </w:rPr>
                        <w:t xml:space="preserve"> 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72579B" w:rsidRDefault="0072579B">
      <w:pPr>
        <w:rPr>
          <w:b/>
          <w:i/>
          <w:u w:val="single"/>
        </w:rPr>
      </w:pPr>
    </w:p>
    <w:p w:rsidR="0072579B" w:rsidRDefault="0072579B">
      <w:pPr>
        <w:rPr>
          <w:b/>
          <w:i/>
          <w:u w:val="single"/>
        </w:rPr>
      </w:pPr>
    </w:p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72579B" w:rsidRPr="0072579B" w:rsidRDefault="005429B7" w:rsidP="0072579B">
      <w:pPr>
        <w:pStyle w:val="Paragraphedeliste"/>
        <w:numPr>
          <w:ilvl w:val="0"/>
          <w:numId w:val="11"/>
        </w:numPr>
        <w:spacing w:after="0" w:line="216" w:lineRule="auto"/>
        <w:ind w:left="709"/>
        <w:jc w:val="both"/>
        <w:rPr>
          <w:rFonts w:ascii="Gill Sans MT" w:eastAsiaTheme="minorEastAsia" w:hAnsi="Gill Sans MT"/>
          <w:color w:val="000000" w:themeColor="text1"/>
          <w:kern w:val="24"/>
        </w:rPr>
      </w:pPr>
      <w:r w:rsidRPr="005429B7">
        <w:rPr>
          <w:rFonts w:ascii="Gill Sans MT" w:eastAsiaTheme="minorEastAsia" w:hAnsi="Gill Sans MT"/>
          <w:bCs/>
          <w:color w:val="000000" w:themeColor="text1"/>
          <w:kern w:val="24"/>
        </w:rPr>
        <w:t>Cette procédure a pour objet de définir les modalités de gestion des PSL et autres DASRI</w:t>
      </w:r>
    </w:p>
    <w:p w:rsidR="00AB5993" w:rsidRDefault="00AB5993" w:rsidP="0072579B">
      <w:pPr>
        <w:pStyle w:val="Paragraphedeliste"/>
        <w:spacing w:after="0" w:line="216" w:lineRule="auto"/>
        <w:ind w:left="709"/>
        <w:jc w:val="both"/>
        <w:rPr>
          <w:rFonts w:ascii="Gill Sans MT" w:hAnsi="Gill Sans MT"/>
        </w:rPr>
      </w:pPr>
    </w:p>
    <w:p w:rsidR="0072579B" w:rsidRDefault="0072579B" w:rsidP="0072579B">
      <w:pPr>
        <w:pStyle w:val="Paragraphedeliste"/>
        <w:spacing w:after="0" w:line="216" w:lineRule="auto"/>
        <w:ind w:left="709"/>
        <w:jc w:val="both"/>
        <w:rPr>
          <w:rFonts w:ascii="Gill Sans MT" w:hAnsi="Gill Sans MT"/>
        </w:rPr>
      </w:pPr>
    </w:p>
    <w:p w:rsidR="0072579B" w:rsidRPr="00235E99" w:rsidRDefault="0072579B" w:rsidP="0072579B">
      <w:pPr>
        <w:pStyle w:val="Paragraphedeliste"/>
        <w:spacing w:after="0" w:line="216" w:lineRule="auto"/>
        <w:ind w:left="709"/>
        <w:jc w:val="both"/>
        <w:rPr>
          <w:rFonts w:ascii="Gill Sans MT" w:hAnsi="Gill Sans MT"/>
        </w:rPr>
      </w:pPr>
    </w:p>
    <w:p w:rsidR="00F51D5B" w:rsidRPr="00AB5993" w:rsidRDefault="00AB5993" w:rsidP="00AB5993">
      <w:pPr>
        <w:rPr>
          <w:b/>
          <w:i/>
          <w:u w:val="single"/>
        </w:rPr>
      </w:pPr>
      <w:r w:rsidRPr="00AB5993">
        <w:rPr>
          <w:b/>
          <w:i/>
          <w:u w:val="single"/>
        </w:rPr>
        <w:t>Domaine d’application</w:t>
      </w:r>
      <w:r w:rsidRPr="00AB5993">
        <w:rPr>
          <w:b/>
          <w:i/>
        </w:rPr>
        <w:t> :</w:t>
      </w:r>
    </w:p>
    <w:p w:rsidR="00AB5993" w:rsidRDefault="00AB5993" w:rsidP="004F00A8">
      <w:pPr>
        <w:pStyle w:val="Paragraphedeliste"/>
        <w:ind w:left="709"/>
      </w:pPr>
      <w:r>
        <w:t>HAD Polypathologie</w:t>
      </w:r>
    </w:p>
    <w:p w:rsidR="004F00A8" w:rsidRDefault="004F00A8" w:rsidP="004F00A8">
      <w:pPr>
        <w:pStyle w:val="Paragraphedeliste"/>
        <w:ind w:left="709"/>
      </w:pPr>
    </w:p>
    <w:p w:rsidR="004F00A8" w:rsidRDefault="004F00A8" w:rsidP="004F00A8">
      <w:r w:rsidRPr="00E77183">
        <w:rPr>
          <w:b/>
          <w:i/>
          <w:u w:val="single"/>
        </w:rPr>
        <w:t>Textes de références</w:t>
      </w:r>
      <w:r>
        <w:t> :</w:t>
      </w:r>
    </w:p>
    <w:p w:rsidR="004F00A8" w:rsidRPr="004F00A8" w:rsidRDefault="004F00A8" w:rsidP="004F00A8">
      <w:pPr>
        <w:pStyle w:val="Paragraphedeliste"/>
        <w:numPr>
          <w:ilvl w:val="0"/>
          <w:numId w:val="11"/>
        </w:numPr>
        <w:tabs>
          <w:tab w:val="left" w:pos="0"/>
        </w:tabs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b/>
          <w:color w:val="000000"/>
          <w:kern w:val="24"/>
          <w:szCs w:val="24"/>
          <w:lang w:eastAsia="fr-FR"/>
        </w:rPr>
      </w:pPr>
      <w:r w:rsidRPr="004F00A8">
        <w:rPr>
          <w:rFonts w:eastAsia="Times New Roman" w:cs="Arial"/>
          <w:b/>
          <w:lang w:eastAsia="fr-FR"/>
        </w:rPr>
        <w:t>Instruction N° DGS/PP4/DGOS/PF2/2021/230 du 16 novembre 2021 concernant la réalisation de l’acte transfusionnel</w:t>
      </w:r>
    </w:p>
    <w:p w:rsidR="004F00A8" w:rsidRDefault="004F00A8" w:rsidP="004F00A8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</w:p>
    <w:p w:rsidR="004F00A8" w:rsidRPr="005429B7" w:rsidRDefault="004F00A8" w:rsidP="004F00A8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Code de l'environnement (Art. L541-1 et suivant) anciennement Loi n° 75-663 du 15 juillet 1975 modifiée, relative à l'élimination des déchets.</w:t>
      </w:r>
    </w:p>
    <w:p w:rsidR="004F00A8" w:rsidRDefault="004F00A8" w:rsidP="004F00A8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</w:p>
    <w:p w:rsidR="004F00A8" w:rsidRPr="005429B7" w:rsidRDefault="004F00A8" w:rsidP="004F00A8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Code de la Santé Publique (Art R1335-1 et suivant) relatif à l'élimination des DASRI et assimilés, pièces anatomiques.</w:t>
      </w:r>
    </w:p>
    <w:p w:rsidR="004F00A8" w:rsidRPr="005429B7" w:rsidRDefault="004F00A8" w:rsidP="004F00A8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kern w:val="24"/>
          <w:szCs w:val="24"/>
          <w:lang w:eastAsia="fr-FR"/>
        </w:rPr>
      </w:pPr>
    </w:p>
    <w:p w:rsidR="004F00A8" w:rsidRPr="004F00A8" w:rsidRDefault="004F00A8" w:rsidP="004F00A8">
      <w:pPr>
        <w:pStyle w:val="Paragraphedeliste"/>
        <w:numPr>
          <w:ilvl w:val="0"/>
          <w:numId w:val="11"/>
        </w:numPr>
        <w:tabs>
          <w:tab w:val="left" w:pos="0"/>
        </w:tabs>
        <w:spacing w:after="0" w:line="240" w:lineRule="auto"/>
        <w:ind w:left="709"/>
        <w:jc w:val="both"/>
        <w:rPr>
          <w:rFonts w:eastAsia="Times New Roman" w:cstheme="minorHAnsi"/>
          <w:b/>
          <w:color w:val="000000"/>
          <w:kern w:val="24"/>
          <w:szCs w:val="24"/>
          <w:lang w:eastAsia="fr-FR"/>
        </w:rPr>
      </w:pPr>
      <w:r w:rsidRPr="004F00A8">
        <w:rPr>
          <w:rFonts w:eastAsia="Times New Roman" w:cstheme="minorHAnsi"/>
          <w:b/>
          <w:color w:val="000000"/>
          <w:kern w:val="24"/>
          <w:szCs w:val="24"/>
          <w:lang w:eastAsia="fr-FR"/>
        </w:rPr>
        <w:t>Décret du 6 novembre 1997</w:t>
      </w:r>
    </w:p>
    <w:p w:rsidR="004F00A8" w:rsidRPr="005429B7" w:rsidRDefault="004F00A8" w:rsidP="004F00A8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Définition du DASRI</w:t>
      </w:r>
    </w:p>
    <w:p w:rsidR="004F00A8" w:rsidRPr="005429B7" w:rsidRDefault="004F00A8" w:rsidP="004F00A8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Définition des producteurs de DASRI</w:t>
      </w:r>
    </w:p>
    <w:p w:rsidR="004F00A8" w:rsidRPr="005429B7" w:rsidRDefault="004F00A8" w:rsidP="004F00A8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Définition des modalités d'emballage, transport et traitement</w:t>
      </w:r>
    </w:p>
    <w:p w:rsidR="004F00A8" w:rsidRPr="005429B7" w:rsidRDefault="004F00A8" w:rsidP="004F00A8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kern w:val="24"/>
          <w:szCs w:val="24"/>
          <w:lang w:eastAsia="fr-FR"/>
        </w:rPr>
      </w:pPr>
    </w:p>
    <w:p w:rsidR="004F00A8" w:rsidRPr="005C553F" w:rsidRDefault="004F00A8" w:rsidP="004F00A8">
      <w:pPr>
        <w:pStyle w:val="Paragraphedeliste"/>
        <w:numPr>
          <w:ilvl w:val="0"/>
          <w:numId w:val="11"/>
        </w:numPr>
        <w:tabs>
          <w:tab w:val="left" w:pos="0"/>
        </w:tabs>
        <w:spacing w:after="0" w:line="240" w:lineRule="auto"/>
        <w:ind w:left="709"/>
        <w:jc w:val="both"/>
        <w:rPr>
          <w:rFonts w:eastAsia="Times New Roman" w:cstheme="minorHAnsi"/>
          <w:color w:val="000000"/>
          <w:kern w:val="24"/>
          <w:szCs w:val="24"/>
          <w:lang w:eastAsia="fr-FR"/>
        </w:rPr>
      </w:pPr>
      <w:r w:rsidRPr="005C553F">
        <w:rPr>
          <w:rFonts w:eastAsia="Times New Roman" w:cstheme="minorHAnsi"/>
          <w:b/>
          <w:color w:val="000000"/>
          <w:kern w:val="24"/>
          <w:szCs w:val="24"/>
          <w:lang w:eastAsia="fr-FR"/>
        </w:rPr>
        <w:t>Arrêté du 7 septembre 1999 modifié par l'arrêté du 14 octobre 2011</w:t>
      </w:r>
    </w:p>
    <w:p w:rsidR="004F00A8" w:rsidRPr="005429B7" w:rsidRDefault="004F00A8" w:rsidP="004F00A8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Définition des modalités d'entreposage (durée, lieu de stockage...) liées à la quantité et la production de DASRIA.</w:t>
      </w:r>
    </w:p>
    <w:p w:rsidR="004F00A8" w:rsidRPr="005429B7" w:rsidRDefault="004F00A8" w:rsidP="004F00A8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Mise en place d'une traçabilité des DASRI :</w:t>
      </w:r>
    </w:p>
    <w:p w:rsidR="004F00A8" w:rsidRPr="005429B7" w:rsidRDefault="004F00A8" w:rsidP="004F00A8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Etablissement d'une convention entre le producteur de déchets et le prestataire en charge de l'élimination</w:t>
      </w:r>
    </w:p>
    <w:p w:rsidR="004F00A8" w:rsidRPr="005429B7" w:rsidRDefault="004F00A8" w:rsidP="004F00A8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Edition de bordereaux de suivi, selon le type de déchets à éliminer :</w:t>
      </w:r>
    </w:p>
    <w:p w:rsidR="004F00A8" w:rsidRPr="005429B7" w:rsidRDefault="004F00A8" w:rsidP="004F00A8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Bordereau de suivi " élimination des déchets d'activités de soins à risques infectieux " (CERFA n° 11351*01 et n°11352*02)</w:t>
      </w:r>
    </w:p>
    <w:p w:rsidR="004F00A8" w:rsidRPr="005429B7" w:rsidRDefault="004F00A8" w:rsidP="004F00A8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Bordereau de suivi " élimination des pièces anatomiques d'origine humaine" (CERFA n°11350*01)</w:t>
      </w:r>
    </w:p>
    <w:p w:rsidR="004F00A8" w:rsidRPr="005429B7" w:rsidRDefault="004F00A8" w:rsidP="004F00A8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 </w:t>
      </w:r>
    </w:p>
    <w:p w:rsidR="004F00A8" w:rsidRPr="005C553F" w:rsidRDefault="004F00A8" w:rsidP="004F00A8">
      <w:pPr>
        <w:pStyle w:val="Paragraphedeliste"/>
        <w:numPr>
          <w:ilvl w:val="0"/>
          <w:numId w:val="11"/>
        </w:numPr>
        <w:spacing w:after="0" w:line="240" w:lineRule="auto"/>
        <w:ind w:left="709"/>
        <w:jc w:val="both"/>
        <w:rPr>
          <w:rFonts w:eastAsia="Times New Roman" w:cstheme="minorHAnsi"/>
          <w:b/>
          <w:color w:val="000000"/>
          <w:kern w:val="24"/>
          <w:szCs w:val="24"/>
          <w:lang w:eastAsia="fr-FR"/>
        </w:rPr>
      </w:pPr>
      <w:r w:rsidRPr="005C553F">
        <w:rPr>
          <w:rFonts w:eastAsia="Times New Roman" w:cstheme="minorHAnsi"/>
          <w:b/>
          <w:color w:val="000000"/>
          <w:kern w:val="24"/>
          <w:szCs w:val="24"/>
          <w:lang w:eastAsia="fr-FR"/>
        </w:rPr>
        <w:t>Arrêté du 24 novembre 2003 modifié par l'arrêté du 6 janvier 2006</w:t>
      </w:r>
    </w:p>
    <w:p w:rsidR="004F00A8" w:rsidRPr="005429B7" w:rsidRDefault="004F00A8" w:rsidP="004F00A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Emballages des DASRI : Exigences techniques définies par les Normes AFNOR- Emballages homologués à usage unique, étanche, de couleur jaune et avec une fermeture temporaire et définitive.</w:t>
      </w:r>
    </w:p>
    <w:p w:rsidR="004F00A8" w:rsidRPr="005429B7" w:rsidRDefault="004F00A8" w:rsidP="004F00A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 </w:t>
      </w:r>
    </w:p>
    <w:p w:rsidR="004F00A8" w:rsidRPr="005C553F" w:rsidRDefault="004F00A8" w:rsidP="004F00A8">
      <w:pPr>
        <w:pStyle w:val="Paragraphedeliste"/>
        <w:numPr>
          <w:ilvl w:val="0"/>
          <w:numId w:val="11"/>
        </w:numPr>
        <w:spacing w:after="0" w:line="240" w:lineRule="auto"/>
        <w:ind w:left="709"/>
        <w:jc w:val="both"/>
        <w:rPr>
          <w:rFonts w:eastAsia="Times New Roman" w:cstheme="minorHAnsi"/>
          <w:b/>
          <w:color w:val="000000"/>
          <w:kern w:val="24"/>
          <w:szCs w:val="24"/>
          <w:lang w:eastAsia="fr-FR"/>
        </w:rPr>
      </w:pPr>
      <w:r w:rsidRPr="005C553F">
        <w:rPr>
          <w:rFonts w:eastAsia="Times New Roman" w:cstheme="minorHAnsi"/>
          <w:b/>
          <w:color w:val="000000"/>
          <w:kern w:val="24"/>
          <w:szCs w:val="24"/>
          <w:lang w:eastAsia="fr-FR"/>
        </w:rPr>
        <w:t>Arrêté TMD du 26 Mai 2009 modifié par l'arrêté du 9 décembre 2010</w:t>
      </w:r>
    </w:p>
    <w:p w:rsidR="004F00A8" w:rsidRPr="005429B7" w:rsidRDefault="004F00A8" w:rsidP="004F00A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Enlèvement et transport des marchandises dangereuses par voies terrestre :</w:t>
      </w:r>
    </w:p>
    <w:p w:rsidR="004F00A8" w:rsidRPr="005429B7" w:rsidRDefault="004F00A8" w:rsidP="004F00A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Condition de transport sur les quantités de déchets</w:t>
      </w:r>
    </w:p>
    <w:p w:rsidR="004F00A8" w:rsidRPr="005429B7" w:rsidRDefault="004F00A8" w:rsidP="004F00A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Contraintes appliquées aux chauffeurs et aux documents à bord du véhicule</w:t>
      </w:r>
    </w:p>
    <w:p w:rsidR="004F00A8" w:rsidRPr="005429B7" w:rsidRDefault="004F00A8" w:rsidP="004F00A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Contraintes appliquées aux véhicules : étiquetages, surveillance, stationnement, équipement.</w:t>
      </w:r>
    </w:p>
    <w:p w:rsidR="004F00A8" w:rsidRPr="00B416D1" w:rsidRDefault="004F00A8" w:rsidP="004F00A8">
      <w:pPr>
        <w:spacing w:after="0"/>
        <w:jc w:val="both"/>
        <w:rPr>
          <w:rFonts w:asciiTheme="majorHAnsi" w:eastAsia="Times New Roman" w:hAnsiTheme="majorHAnsi" w:cstheme="majorHAnsi"/>
          <w:b/>
          <w:color w:val="FF0000"/>
          <w:kern w:val="24"/>
          <w:szCs w:val="24"/>
          <w:lang w:eastAsia="fr-FR"/>
        </w:rPr>
      </w:pPr>
    </w:p>
    <w:p w:rsidR="004F00A8" w:rsidRDefault="004F00A8" w:rsidP="004F00A8">
      <w:pPr>
        <w:pStyle w:val="Paragraphedeliste"/>
        <w:numPr>
          <w:ilvl w:val="0"/>
          <w:numId w:val="11"/>
        </w:numPr>
        <w:spacing w:after="0" w:line="240" w:lineRule="auto"/>
        <w:ind w:left="709"/>
        <w:jc w:val="both"/>
        <w:rPr>
          <w:b/>
        </w:rPr>
      </w:pPr>
      <w:r w:rsidRPr="00B416D1">
        <w:rPr>
          <w:b/>
        </w:rPr>
        <w:t>Document cadre HAD et transfusion du 20 avril 2018 / SFTS – SFVTT – Version actualisée 2021</w:t>
      </w:r>
    </w:p>
    <w:p w:rsidR="004F00A8" w:rsidRPr="00B416D1" w:rsidRDefault="004F00A8" w:rsidP="004F00A8">
      <w:pPr>
        <w:pStyle w:val="Paragraphedeliste"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b/>
          <w:color w:val="000000"/>
          <w:kern w:val="24"/>
          <w:szCs w:val="24"/>
          <w:lang w:eastAsia="fr-FR"/>
        </w:rPr>
      </w:pPr>
    </w:p>
    <w:p w:rsidR="004F00A8" w:rsidRPr="00B416D1" w:rsidRDefault="004F00A8" w:rsidP="004F00A8">
      <w:pPr>
        <w:pStyle w:val="Paragraphedeliste"/>
        <w:numPr>
          <w:ilvl w:val="0"/>
          <w:numId w:val="11"/>
        </w:numPr>
        <w:spacing w:after="0" w:line="240" w:lineRule="auto"/>
        <w:ind w:left="709"/>
        <w:jc w:val="both"/>
        <w:rPr>
          <w:rFonts w:eastAsia="Times New Roman" w:cstheme="minorHAnsi"/>
          <w:b/>
          <w:color w:val="000000"/>
          <w:kern w:val="24"/>
          <w:szCs w:val="24"/>
          <w:lang w:eastAsia="fr-FR"/>
        </w:rPr>
      </w:pPr>
      <w:r w:rsidRPr="00B416D1">
        <w:rPr>
          <w:rFonts w:cstheme="minorHAnsi"/>
          <w:b/>
        </w:rPr>
        <w:t>Décision du 10 mars 2020 définissant les principes de bonnes pratiques prévues à l’article 1222-12 du CSP</w:t>
      </w:r>
    </w:p>
    <w:p w:rsidR="0072579B" w:rsidRDefault="0072579B" w:rsidP="0072579B">
      <w:pPr>
        <w:rPr>
          <w:b/>
          <w:i/>
          <w:u w:val="single"/>
        </w:rPr>
      </w:pPr>
    </w:p>
    <w:p w:rsidR="004679D3" w:rsidRPr="00F51D5B" w:rsidRDefault="004679D3" w:rsidP="004679D3">
      <w:pPr>
        <w:rPr>
          <w:b/>
        </w:rPr>
      </w:pPr>
      <w:r w:rsidRPr="00F51D5B">
        <w:rPr>
          <w:b/>
          <w:i/>
          <w:u w:val="single"/>
        </w:rPr>
        <w:t>Définition</w:t>
      </w:r>
      <w:r w:rsidRPr="0072579B">
        <w:rPr>
          <w:b/>
          <w:i/>
          <w:u w:val="single"/>
        </w:rPr>
        <w:t>s</w:t>
      </w:r>
      <w:r w:rsidRPr="0072579B">
        <w:rPr>
          <w:b/>
          <w:u w:val="single"/>
        </w:rPr>
        <w:t xml:space="preserve"> </w:t>
      </w:r>
      <w:r w:rsidRPr="0072579B">
        <w:rPr>
          <w:b/>
          <w:i/>
          <w:u w:val="single"/>
        </w:rPr>
        <w:t>et abr</w:t>
      </w:r>
      <w:bookmarkStart w:id="0" w:name="_GoBack"/>
      <w:bookmarkEnd w:id="0"/>
      <w:r w:rsidRPr="0072579B">
        <w:rPr>
          <w:b/>
          <w:i/>
          <w:u w:val="single"/>
        </w:rPr>
        <w:t>éviations</w:t>
      </w:r>
      <w:r>
        <w:rPr>
          <w:b/>
        </w:rPr>
        <w:t> :</w:t>
      </w:r>
    </w:p>
    <w:p w:rsidR="004679D3" w:rsidRPr="005429B7" w:rsidRDefault="004679D3" w:rsidP="004679D3">
      <w:pPr>
        <w:spacing w:after="0"/>
      </w:pPr>
      <w:r w:rsidRPr="005429B7">
        <w:rPr>
          <w:b/>
        </w:rPr>
        <w:t>ANSM</w:t>
      </w:r>
      <w:r w:rsidRPr="005429B7">
        <w:t> : Agence Nationale de Sécurité du Médicament et des produits de santé</w:t>
      </w:r>
    </w:p>
    <w:p w:rsidR="004679D3" w:rsidRPr="005429B7" w:rsidRDefault="004679D3" w:rsidP="004679D3">
      <w:pPr>
        <w:spacing w:after="0"/>
      </w:pPr>
      <w:r w:rsidRPr="00B416D1">
        <w:rPr>
          <w:b/>
        </w:rPr>
        <w:t>CGR :</w:t>
      </w:r>
      <w:r w:rsidRPr="005429B7">
        <w:t xml:space="preserve"> Concentré de Globules Rouges</w:t>
      </w:r>
    </w:p>
    <w:p w:rsidR="004679D3" w:rsidRPr="005429B7" w:rsidRDefault="004679D3" w:rsidP="004679D3">
      <w:pPr>
        <w:spacing w:after="0"/>
      </w:pPr>
      <w:r w:rsidRPr="005429B7">
        <w:rPr>
          <w:b/>
        </w:rPr>
        <w:t>CSP</w:t>
      </w:r>
      <w:r w:rsidRPr="005429B7">
        <w:t xml:space="preserve"> : Code de la Santé Publique</w:t>
      </w:r>
    </w:p>
    <w:p w:rsidR="004679D3" w:rsidRPr="005429B7" w:rsidRDefault="004679D3" w:rsidP="004679D3">
      <w:pPr>
        <w:spacing w:after="0"/>
      </w:pPr>
      <w:r w:rsidRPr="005429B7">
        <w:rPr>
          <w:b/>
        </w:rPr>
        <w:t>CSTH </w:t>
      </w:r>
      <w:r w:rsidRPr="005429B7">
        <w:t>: Comité de Sécurité Transfusionnelle et d'Hémovigilance</w:t>
      </w:r>
    </w:p>
    <w:p w:rsidR="004679D3" w:rsidRPr="005429B7" w:rsidRDefault="004679D3" w:rsidP="004679D3">
      <w:pPr>
        <w:spacing w:after="0"/>
      </w:pPr>
      <w:r w:rsidRPr="00D4316B">
        <w:rPr>
          <w:b/>
        </w:rPr>
        <w:t>CULM </w:t>
      </w:r>
      <w:r w:rsidRPr="005429B7">
        <w:t>: Contrôle Ultime au Lit du Malade</w:t>
      </w:r>
    </w:p>
    <w:p w:rsidR="004679D3" w:rsidRPr="005429B7" w:rsidRDefault="004679D3" w:rsidP="004679D3">
      <w:pPr>
        <w:spacing w:after="0"/>
      </w:pPr>
      <w:r w:rsidRPr="005429B7">
        <w:rPr>
          <w:b/>
        </w:rPr>
        <w:t>FDN</w:t>
      </w:r>
      <w:r w:rsidRPr="005429B7">
        <w:t> : Fiche de Délivrance Nominative</w:t>
      </w:r>
    </w:p>
    <w:p w:rsidR="004679D3" w:rsidRPr="005429B7" w:rsidRDefault="004679D3" w:rsidP="004679D3">
      <w:pPr>
        <w:spacing w:after="0"/>
      </w:pPr>
      <w:r w:rsidRPr="005429B7">
        <w:rPr>
          <w:b/>
        </w:rPr>
        <w:t xml:space="preserve">PSL </w:t>
      </w:r>
      <w:r w:rsidRPr="005429B7">
        <w:t>: Produit Sanguin Labile</w:t>
      </w:r>
    </w:p>
    <w:p w:rsidR="004679D3" w:rsidRPr="005429B7" w:rsidRDefault="004679D3" w:rsidP="004679D3">
      <w:pPr>
        <w:spacing w:after="0"/>
      </w:pPr>
      <w:r w:rsidRPr="005429B7">
        <w:rPr>
          <w:b/>
        </w:rPr>
        <w:t>SFTS</w:t>
      </w:r>
      <w:r w:rsidRPr="005429B7">
        <w:t xml:space="preserve"> : Société Française de Transfusion sanguine</w:t>
      </w:r>
    </w:p>
    <w:p w:rsidR="004679D3" w:rsidRPr="005429B7" w:rsidRDefault="004679D3" w:rsidP="004679D3">
      <w:pPr>
        <w:spacing w:after="0"/>
      </w:pPr>
      <w:r w:rsidRPr="005429B7">
        <w:rPr>
          <w:b/>
        </w:rPr>
        <w:t>SFVTT</w:t>
      </w:r>
      <w:r w:rsidRPr="005429B7">
        <w:t> : Société Française de Vigilance et de Thérapeutique Transfusionnelle</w:t>
      </w:r>
    </w:p>
    <w:p w:rsidR="005429B7" w:rsidRDefault="005429B7" w:rsidP="0072579B">
      <w:pPr>
        <w:rPr>
          <w:b/>
          <w:i/>
          <w:u w:val="single"/>
        </w:rPr>
      </w:pPr>
    </w:p>
    <w:p w:rsidR="005429B7" w:rsidRDefault="005429B7" w:rsidP="0072579B">
      <w:pPr>
        <w:rPr>
          <w:b/>
          <w:i/>
          <w:u w:val="single"/>
        </w:rPr>
      </w:pPr>
    </w:p>
    <w:p w:rsidR="0072579B" w:rsidRDefault="0072579B" w:rsidP="0072579B">
      <w:pPr>
        <w:rPr>
          <w:b/>
          <w:i/>
          <w:u w:val="single"/>
        </w:rPr>
      </w:pPr>
    </w:p>
    <w:p w:rsidR="004F00A8" w:rsidRDefault="004F00A8" w:rsidP="0072579B">
      <w:pPr>
        <w:rPr>
          <w:b/>
          <w:i/>
          <w:u w:val="single"/>
        </w:rPr>
      </w:pPr>
    </w:p>
    <w:p w:rsidR="004F00A8" w:rsidRDefault="004F00A8" w:rsidP="0072579B">
      <w:pPr>
        <w:rPr>
          <w:b/>
          <w:i/>
          <w:u w:val="single"/>
        </w:rPr>
      </w:pPr>
    </w:p>
    <w:p w:rsidR="004F00A8" w:rsidRDefault="004F00A8" w:rsidP="0072579B">
      <w:pPr>
        <w:rPr>
          <w:b/>
          <w:i/>
          <w:u w:val="single"/>
        </w:rPr>
      </w:pPr>
    </w:p>
    <w:p w:rsidR="004F00A8" w:rsidRDefault="004F00A8" w:rsidP="0072579B">
      <w:pPr>
        <w:rPr>
          <w:b/>
          <w:i/>
          <w:u w:val="single"/>
        </w:rPr>
      </w:pPr>
    </w:p>
    <w:p w:rsidR="004F00A8" w:rsidRDefault="004F00A8" w:rsidP="0072579B">
      <w:pPr>
        <w:rPr>
          <w:b/>
          <w:i/>
          <w:u w:val="single"/>
        </w:rPr>
      </w:pPr>
    </w:p>
    <w:p w:rsidR="0072579B" w:rsidRDefault="0072579B" w:rsidP="0072579B">
      <w:pPr>
        <w:rPr>
          <w:b/>
          <w:i/>
          <w:u w:val="single"/>
        </w:rPr>
      </w:pPr>
    </w:p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72579B" w:rsidTr="006F1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72579B" w:rsidRDefault="0072579B" w:rsidP="006F1482">
            <w:r>
              <w:t>Rédacteur</w:t>
            </w:r>
          </w:p>
        </w:tc>
        <w:tc>
          <w:tcPr>
            <w:tcW w:w="3119" w:type="dxa"/>
          </w:tcPr>
          <w:p w:rsidR="0072579B" w:rsidRDefault="0072579B" w:rsidP="006F14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72579B" w:rsidRDefault="0072579B" w:rsidP="006F14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72579B" w:rsidTr="006F1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72579B" w:rsidRPr="00F72E1E" w:rsidRDefault="0072579B" w:rsidP="006F1482">
            <w:pPr>
              <w:rPr>
                <w:b w:val="0"/>
                <w:sz w:val="18"/>
              </w:rPr>
            </w:pPr>
            <w:proofErr w:type="gramStart"/>
            <w:r>
              <w:rPr>
                <w:sz w:val="18"/>
              </w:rPr>
              <w:t>Dr.JONCA</w:t>
            </w:r>
            <w:proofErr w:type="gramEnd"/>
          </w:p>
          <w:p w:rsidR="004F00A8" w:rsidRPr="00554F14" w:rsidRDefault="004F00A8" w:rsidP="004F00A8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Médecin c</w:t>
            </w:r>
            <w:r w:rsidRPr="00554F14">
              <w:rPr>
                <w:b w:val="0"/>
                <w:sz w:val="16"/>
              </w:rPr>
              <w:t xml:space="preserve">oordonnateur </w:t>
            </w:r>
            <w:r>
              <w:rPr>
                <w:b w:val="0"/>
                <w:sz w:val="16"/>
              </w:rPr>
              <w:t>HAD Santé Relais domicile Toulouse</w:t>
            </w:r>
          </w:p>
          <w:p w:rsidR="0072579B" w:rsidRPr="00E77183" w:rsidRDefault="0072579B" w:rsidP="006F1482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72579B" w:rsidRPr="00F72E1E" w:rsidRDefault="0072579B" w:rsidP="006F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gramStart"/>
            <w:r w:rsidRPr="00F72E1E">
              <w:rPr>
                <w:b/>
                <w:sz w:val="18"/>
              </w:rPr>
              <w:t>Dr.SAPEY</w:t>
            </w:r>
            <w:proofErr w:type="gramEnd"/>
          </w:p>
          <w:p w:rsidR="0072579B" w:rsidRDefault="0072579B" w:rsidP="006F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72579B" w:rsidRPr="00554F14" w:rsidRDefault="0072579B" w:rsidP="006F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72579B" w:rsidRPr="00F72E1E" w:rsidRDefault="0072579B" w:rsidP="006F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72579B" w:rsidRPr="00F72E1E" w:rsidRDefault="0072579B" w:rsidP="006F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gramStart"/>
            <w:r w:rsidRPr="00F72E1E">
              <w:rPr>
                <w:b/>
                <w:sz w:val="18"/>
              </w:rPr>
              <w:t>Dr.SAPEY</w:t>
            </w:r>
            <w:proofErr w:type="gramEnd"/>
          </w:p>
          <w:p w:rsidR="0072579B" w:rsidRPr="00E77183" w:rsidRDefault="0072579B" w:rsidP="006F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72579B" w:rsidRDefault="0072579B" w:rsidP="0072579B">
      <w:pPr>
        <w:rPr>
          <w:b/>
          <w:i/>
          <w:u w:val="single"/>
        </w:rPr>
      </w:pPr>
    </w:p>
    <w:p w:rsidR="0072579B" w:rsidRDefault="0072579B" w:rsidP="0072579B">
      <w:pPr>
        <w:rPr>
          <w:b/>
        </w:rPr>
      </w:pPr>
      <w:r w:rsidRPr="0072579B">
        <w:rPr>
          <w:b/>
          <w:i/>
          <w:u w:val="single"/>
        </w:rPr>
        <w:t>Organisation </w:t>
      </w:r>
      <w:r>
        <w:rPr>
          <w:b/>
        </w:rPr>
        <w:t>:</w:t>
      </w:r>
    </w:p>
    <w:p w:rsidR="005429B7" w:rsidRPr="005429B7" w:rsidRDefault="005429B7" w:rsidP="00542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eastAsia="Times New Roman" w:hAnsiTheme="majorHAnsi" w:cstheme="majorHAnsi"/>
          <w:b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b/>
          <w:szCs w:val="24"/>
          <w:lang w:eastAsia="fr-FR"/>
        </w:rPr>
        <w:t>Le PSL</w:t>
      </w:r>
    </w:p>
    <w:p w:rsidR="005429B7" w:rsidRPr="005429B7" w:rsidRDefault="005429B7" w:rsidP="005429B7">
      <w:pPr>
        <w:spacing w:after="0" w:line="240" w:lineRule="auto"/>
        <w:jc w:val="both"/>
        <w:rPr>
          <w:rFonts w:asciiTheme="majorHAnsi" w:eastAsia="Calibri" w:hAnsiTheme="majorHAnsi" w:cstheme="majorHAnsi"/>
          <w:szCs w:val="24"/>
          <w:lang w:eastAsia="fr-FR"/>
        </w:rPr>
      </w:pPr>
    </w:p>
    <w:p w:rsidR="005429B7" w:rsidRPr="005429B7" w:rsidRDefault="005429B7" w:rsidP="005429B7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fr-FR"/>
        </w:rPr>
      </w:pPr>
      <w:r w:rsidRPr="005429B7">
        <w:rPr>
          <w:rFonts w:asciiTheme="majorHAnsi" w:eastAsia="Calibri" w:hAnsiTheme="majorHAnsi" w:cstheme="majorHAnsi"/>
          <w:szCs w:val="24"/>
          <w:lang w:eastAsia="fr-FR"/>
        </w:rPr>
        <w:t>Le PSL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 xml:space="preserve"> transfusé (poche vide) </w:t>
      </w:r>
      <w:r w:rsidRPr="005429B7">
        <w:rPr>
          <w:rFonts w:asciiTheme="majorHAnsi" w:eastAsia="Times New Roman" w:hAnsiTheme="majorHAnsi" w:cstheme="majorHAnsi"/>
          <w:b/>
          <w:szCs w:val="24"/>
          <w:lang w:eastAsia="fr-FR"/>
        </w:rPr>
        <w:t>doit être déperfusé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 xml:space="preserve"> </w:t>
      </w:r>
      <w:r w:rsidRPr="005429B7">
        <w:rPr>
          <w:rFonts w:asciiTheme="majorHAnsi" w:eastAsia="Times New Roman" w:hAnsiTheme="majorHAnsi" w:cstheme="majorHAnsi"/>
          <w:b/>
          <w:szCs w:val="24"/>
          <w:lang w:eastAsia="fr-FR"/>
        </w:rPr>
        <w:t>de façon conforme aux recommandations de l’ANSM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 xml:space="preserve"> et rester solidaire du perfuseur, il est à conserver pendant 4 heures en post transfusionnel dans une poche propre (poche du colisage de l’EFS et valisette HAD prévue à cet effet).</w:t>
      </w:r>
    </w:p>
    <w:p w:rsidR="005429B7" w:rsidRPr="005429B7" w:rsidRDefault="005429B7" w:rsidP="005429B7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fr-FR"/>
        </w:rPr>
      </w:pPr>
    </w:p>
    <w:p w:rsidR="005429B7" w:rsidRPr="005429B7" w:rsidRDefault="005429B7" w:rsidP="005429B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Theme="majorHAnsi" w:eastAsia="Calibri" w:hAnsiTheme="majorHAnsi" w:cstheme="majorHAnsi"/>
          <w:szCs w:val="24"/>
          <w:lang w:eastAsia="fr-FR"/>
        </w:rPr>
      </w:pPr>
      <w:r w:rsidRPr="005429B7">
        <w:rPr>
          <w:rFonts w:asciiTheme="majorHAnsi" w:eastAsia="Calibri" w:hAnsiTheme="majorHAnsi" w:cstheme="majorHAnsi"/>
          <w:szCs w:val="24"/>
          <w:lang w:eastAsia="fr-FR"/>
        </w:rPr>
        <w:t>Si pas d’EIR il sera détruit via filière DASRI de l’établissement</w:t>
      </w:r>
      <w:r w:rsidRPr="005429B7">
        <w:rPr>
          <w:rFonts w:asciiTheme="majorHAnsi" w:eastAsia="Times New Roman" w:hAnsiTheme="majorHAnsi" w:cstheme="majorHAnsi"/>
          <w:szCs w:val="24"/>
          <w:u w:val="single"/>
          <w:lang w:eastAsia="fr-FR"/>
        </w:rPr>
        <w:t xml:space="preserve"> la traçabilité de la transfusion devra être noté dans la FDN</w:t>
      </w:r>
    </w:p>
    <w:p w:rsidR="005429B7" w:rsidRPr="005429B7" w:rsidRDefault="005429B7" w:rsidP="005429B7">
      <w:pPr>
        <w:spacing w:after="0" w:line="240" w:lineRule="auto"/>
        <w:ind w:left="720"/>
        <w:contextualSpacing/>
        <w:jc w:val="both"/>
        <w:rPr>
          <w:rFonts w:asciiTheme="majorHAnsi" w:eastAsia="Calibri" w:hAnsiTheme="majorHAnsi" w:cstheme="majorHAnsi"/>
          <w:szCs w:val="24"/>
          <w:lang w:eastAsia="fr-FR"/>
        </w:rPr>
      </w:pPr>
    </w:p>
    <w:p w:rsidR="005429B7" w:rsidRPr="005429B7" w:rsidRDefault="005429B7" w:rsidP="005429B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Theme="majorHAnsi" w:eastAsia="Calibri" w:hAnsiTheme="majorHAnsi" w:cstheme="majorHAnsi"/>
          <w:szCs w:val="24"/>
          <w:lang w:eastAsia="fr-FR"/>
        </w:rPr>
      </w:pPr>
      <w:r w:rsidRPr="005429B7">
        <w:rPr>
          <w:rFonts w:asciiTheme="majorHAnsi" w:eastAsia="Calibri" w:hAnsiTheme="majorHAnsi" w:cstheme="majorHAnsi"/>
          <w:szCs w:val="24"/>
          <w:lang w:eastAsia="fr-FR"/>
        </w:rPr>
        <w:t>Si EIR fébrile il sera obligatoirement retourné à l’EFS par l’IDE dès que possible pour culture de la poche.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 xml:space="preserve"> Il sera mis OBLIGATOIREMENT </w:t>
      </w:r>
      <w:r w:rsidRPr="005429B7">
        <w:rPr>
          <w:rFonts w:asciiTheme="majorHAnsi" w:eastAsia="Calibri" w:hAnsiTheme="majorHAnsi" w:cstheme="majorHAnsi"/>
          <w:szCs w:val="24"/>
          <w:lang w:eastAsia="fr-FR"/>
        </w:rPr>
        <w:t>dans la malle du véhicule dans une mallette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 xml:space="preserve"> identifié « </w:t>
      </w:r>
      <w:r w:rsidRPr="005429B7">
        <w:rPr>
          <w:rFonts w:asciiTheme="majorHAnsi" w:eastAsia="Times New Roman" w:hAnsiTheme="majorHAnsi" w:cstheme="majorHAnsi"/>
          <w:i/>
          <w:szCs w:val="24"/>
          <w:lang w:eastAsia="fr-FR"/>
        </w:rPr>
        <w:t>PSL à retourner à l’EFS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 xml:space="preserve"> » </w:t>
      </w:r>
      <w:r w:rsidRPr="005429B7">
        <w:rPr>
          <w:rFonts w:asciiTheme="majorHAnsi" w:eastAsia="Times New Roman" w:hAnsiTheme="majorHAnsi" w:cstheme="majorHAnsi"/>
          <w:szCs w:val="24"/>
          <w:u w:val="single"/>
          <w:lang w:eastAsia="fr-FR"/>
        </w:rPr>
        <w:t xml:space="preserve">la traçabilité de l’EIR devra être noté dans la FDN 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>et dans les transmissions ciblées.</w:t>
      </w:r>
    </w:p>
    <w:p w:rsidR="005429B7" w:rsidRPr="005429B7" w:rsidRDefault="005429B7" w:rsidP="005429B7">
      <w:pPr>
        <w:spacing w:after="0" w:line="240" w:lineRule="auto"/>
        <w:rPr>
          <w:rFonts w:asciiTheme="majorHAnsi" w:eastAsia="Calibri" w:hAnsiTheme="majorHAnsi" w:cstheme="majorHAnsi"/>
          <w:sz w:val="10"/>
          <w:szCs w:val="12"/>
          <w:lang w:eastAsia="fr-FR"/>
        </w:rPr>
      </w:pPr>
    </w:p>
    <w:p w:rsidR="005429B7" w:rsidRPr="005429B7" w:rsidRDefault="005429B7" w:rsidP="005429B7">
      <w:pPr>
        <w:spacing w:after="0" w:line="240" w:lineRule="auto"/>
        <w:rPr>
          <w:rFonts w:asciiTheme="majorHAnsi" w:eastAsia="Times New Roman" w:hAnsiTheme="majorHAnsi" w:cstheme="majorHAnsi"/>
          <w:szCs w:val="24"/>
          <w:u w:val="single"/>
          <w:lang w:eastAsia="fr-FR"/>
        </w:rPr>
      </w:pPr>
      <w:r w:rsidRPr="005429B7">
        <w:rPr>
          <w:rFonts w:asciiTheme="majorHAnsi" w:eastAsia="Calibri" w:hAnsiTheme="majorHAnsi" w:cstheme="majorHAnsi"/>
          <w:szCs w:val="24"/>
          <w:lang w:eastAsia="fr-FR"/>
        </w:rPr>
        <w:t xml:space="preserve">Si une transfusion est interrompue </w:t>
      </w:r>
      <w:r w:rsidRPr="005429B7">
        <w:rPr>
          <w:rFonts w:asciiTheme="majorHAnsi" w:eastAsia="Calibri" w:hAnsiTheme="majorHAnsi" w:cstheme="majorHAnsi"/>
          <w:b/>
          <w:szCs w:val="24"/>
          <w:lang w:eastAsia="fr-FR"/>
        </w:rPr>
        <w:t>PSL</w:t>
      </w:r>
      <w:r w:rsidRPr="005429B7">
        <w:rPr>
          <w:rFonts w:asciiTheme="majorHAnsi" w:eastAsia="Times New Roman" w:hAnsiTheme="majorHAnsi" w:cstheme="majorHAnsi"/>
          <w:b/>
          <w:szCs w:val="24"/>
          <w:lang w:eastAsia="fr-FR"/>
        </w:rPr>
        <w:t xml:space="preserve"> percuté mais non transfusé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 xml:space="preserve"> il devra être détruit via filière DASRI de l’établissement et non retourné à l’EFS </w:t>
      </w:r>
      <w:r w:rsidRPr="005429B7">
        <w:rPr>
          <w:rFonts w:asciiTheme="majorHAnsi" w:eastAsia="Times New Roman" w:hAnsiTheme="majorHAnsi" w:cstheme="majorHAnsi"/>
          <w:szCs w:val="24"/>
          <w:u w:val="single"/>
          <w:lang w:eastAsia="fr-FR"/>
        </w:rPr>
        <w:t>la traçabilité de l’interruption de la transfusion et les motifs de cette interruption devront être noté dans la FDN</w:t>
      </w:r>
    </w:p>
    <w:p w:rsidR="005429B7" w:rsidRPr="005429B7" w:rsidRDefault="005429B7" w:rsidP="005429B7">
      <w:pPr>
        <w:spacing w:after="0" w:line="240" w:lineRule="auto"/>
        <w:jc w:val="both"/>
        <w:rPr>
          <w:rFonts w:asciiTheme="majorHAnsi" w:eastAsia="Calibri" w:hAnsiTheme="majorHAnsi" w:cstheme="majorHAnsi"/>
          <w:szCs w:val="24"/>
          <w:lang w:eastAsia="fr-FR"/>
        </w:rPr>
      </w:pPr>
    </w:p>
    <w:p w:rsidR="005429B7" w:rsidRPr="005429B7" w:rsidRDefault="005429B7" w:rsidP="005429B7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fr-FR"/>
        </w:rPr>
      </w:pPr>
      <w:r w:rsidRPr="005429B7">
        <w:rPr>
          <w:rFonts w:asciiTheme="majorHAnsi" w:eastAsia="Calibri" w:hAnsiTheme="majorHAnsi" w:cstheme="majorHAnsi"/>
          <w:szCs w:val="24"/>
          <w:lang w:eastAsia="fr-FR"/>
        </w:rPr>
        <w:t xml:space="preserve">Si une transfusion n’est pas réalisée </w:t>
      </w:r>
      <w:r w:rsidRPr="005429B7">
        <w:rPr>
          <w:rFonts w:asciiTheme="majorHAnsi" w:eastAsia="Calibri" w:hAnsiTheme="majorHAnsi" w:cstheme="majorHAnsi"/>
          <w:b/>
          <w:szCs w:val="24"/>
          <w:lang w:eastAsia="fr-FR"/>
        </w:rPr>
        <w:t>PSL</w:t>
      </w:r>
      <w:r w:rsidRPr="005429B7">
        <w:rPr>
          <w:rFonts w:asciiTheme="majorHAnsi" w:eastAsia="Times New Roman" w:hAnsiTheme="majorHAnsi" w:cstheme="majorHAnsi"/>
          <w:b/>
          <w:szCs w:val="24"/>
          <w:lang w:eastAsia="fr-FR"/>
        </w:rPr>
        <w:t xml:space="preserve"> non percuté et non transfusé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 xml:space="preserve"> il devra être retourné à l’EFS </w:t>
      </w:r>
      <w:r w:rsidRPr="005429B7">
        <w:rPr>
          <w:rFonts w:asciiTheme="majorHAnsi" w:eastAsia="Times New Roman" w:hAnsiTheme="majorHAnsi" w:cstheme="majorHAnsi"/>
          <w:szCs w:val="24"/>
          <w:u w:val="single"/>
          <w:lang w:eastAsia="fr-FR"/>
        </w:rPr>
        <w:t>la traçabilité de la non transfusion et les motifs de cette interruption devront être noté dans la FDN.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 xml:space="preserve"> Il ne devra pas être laissé au domicile du patient, mais repris par l’IDE pour être ramené dans la mallette identifié PSL à retourner à l’EFS qui devra être positionnée dans la malle du véhicule. Le transport de ce PSL ne nécessite pas de condition thermique particulière, il sera détruit par le site EFS.</w:t>
      </w:r>
    </w:p>
    <w:p w:rsidR="005429B7" w:rsidRPr="005429B7" w:rsidRDefault="005429B7" w:rsidP="005429B7">
      <w:pPr>
        <w:spacing w:after="0" w:line="240" w:lineRule="auto"/>
        <w:rPr>
          <w:rFonts w:asciiTheme="majorHAnsi" w:eastAsia="Calibri" w:hAnsiTheme="majorHAnsi" w:cstheme="majorHAnsi"/>
          <w:szCs w:val="24"/>
          <w:lang w:eastAsia="fr-FR"/>
        </w:rPr>
      </w:pPr>
    </w:p>
    <w:p w:rsidR="005429B7" w:rsidRPr="005429B7" w:rsidRDefault="005429B7" w:rsidP="00542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eastAsia="Times New Roman" w:hAnsiTheme="majorHAnsi" w:cstheme="majorHAnsi"/>
          <w:b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b/>
          <w:szCs w:val="24"/>
          <w:lang w:eastAsia="fr-FR"/>
        </w:rPr>
        <w:t>Autres déchets</w:t>
      </w:r>
    </w:p>
    <w:p w:rsidR="005429B7" w:rsidRPr="005429B7" w:rsidRDefault="005429B7" w:rsidP="005429B7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u w:val="single"/>
          <w:lang w:eastAsia="fr-FR"/>
        </w:rPr>
      </w:pPr>
    </w:p>
    <w:p w:rsidR="005429B7" w:rsidRPr="005429B7" w:rsidRDefault="005429B7" w:rsidP="005429B7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szCs w:val="24"/>
          <w:u w:val="single"/>
          <w:lang w:eastAsia="fr-FR"/>
        </w:rPr>
        <w:t>La carte de CULM</w:t>
      </w:r>
      <w:r w:rsidR="006512AA">
        <w:rPr>
          <w:rFonts w:asciiTheme="majorHAnsi" w:eastAsia="Times New Roman" w:hAnsiTheme="majorHAnsi" w:cstheme="majorHAnsi"/>
          <w:szCs w:val="24"/>
          <w:lang w:eastAsia="fr-FR"/>
        </w:rPr>
        <w:t xml:space="preserve"> est à conserver pendant 4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 xml:space="preserve"> heures en post transfusionnel puis détruit via la filière DASRI de l’établissement</w:t>
      </w:r>
    </w:p>
    <w:p w:rsidR="005429B7" w:rsidRPr="005429B7" w:rsidRDefault="005429B7" w:rsidP="005429B7">
      <w:pPr>
        <w:spacing w:after="0" w:line="240" w:lineRule="auto"/>
        <w:jc w:val="both"/>
        <w:rPr>
          <w:rFonts w:asciiTheme="majorHAnsi" w:eastAsia="Times New Roman" w:hAnsiTheme="majorHAnsi" w:cstheme="majorHAnsi"/>
          <w:sz w:val="10"/>
          <w:szCs w:val="12"/>
          <w:u w:val="single"/>
          <w:lang w:eastAsia="fr-FR"/>
        </w:rPr>
      </w:pPr>
    </w:p>
    <w:p w:rsidR="005429B7" w:rsidRPr="005429B7" w:rsidRDefault="005429B7" w:rsidP="005429B7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szCs w:val="24"/>
          <w:u w:val="single"/>
          <w:lang w:eastAsia="fr-FR"/>
        </w:rPr>
        <w:t>Le perfuseur,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 xml:space="preserve"> il doit rester solidaire du PSL, </w:t>
      </w:r>
      <w:r w:rsidRPr="005429B7">
        <w:rPr>
          <w:rFonts w:asciiTheme="majorHAnsi" w:eastAsia="Times New Roman" w:hAnsiTheme="majorHAnsi" w:cstheme="majorHAnsi"/>
          <w:b/>
          <w:szCs w:val="24"/>
          <w:lang w:eastAsia="fr-FR"/>
        </w:rPr>
        <w:t>noué de façon conforme aux recommandations de l’ANSM</w:t>
      </w:r>
      <w:r w:rsidR="006512AA">
        <w:rPr>
          <w:rFonts w:asciiTheme="majorHAnsi" w:eastAsia="Times New Roman" w:hAnsiTheme="majorHAnsi" w:cstheme="majorHAnsi"/>
          <w:szCs w:val="24"/>
          <w:lang w:eastAsia="fr-FR"/>
        </w:rPr>
        <w:t xml:space="preserve"> à conserver pendant 4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 xml:space="preserve"> heures en post transfusionnel dans une poche propre (poche du colisage de l’EFS) puis détruit via filière DASRI de l’établissement</w:t>
      </w:r>
    </w:p>
    <w:p w:rsidR="005429B7" w:rsidRPr="005429B7" w:rsidRDefault="005429B7" w:rsidP="005429B7">
      <w:pPr>
        <w:spacing w:after="0" w:line="240" w:lineRule="auto"/>
        <w:jc w:val="both"/>
        <w:rPr>
          <w:rFonts w:asciiTheme="majorHAnsi" w:eastAsia="Times New Roman" w:hAnsiTheme="majorHAnsi" w:cstheme="majorHAnsi"/>
          <w:sz w:val="10"/>
          <w:szCs w:val="12"/>
          <w:u w:val="single"/>
          <w:lang w:eastAsia="fr-FR"/>
        </w:rPr>
      </w:pPr>
    </w:p>
    <w:p w:rsidR="005429B7" w:rsidRPr="005429B7" w:rsidRDefault="005429B7" w:rsidP="005429B7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szCs w:val="24"/>
          <w:u w:val="single"/>
          <w:lang w:eastAsia="fr-FR"/>
        </w:rPr>
        <w:t xml:space="preserve">Les autres DASRI 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>(compr</w:t>
      </w:r>
      <w:r w:rsidR="004F00A8">
        <w:rPr>
          <w:rFonts w:asciiTheme="majorHAnsi" w:eastAsia="Times New Roman" w:hAnsiTheme="majorHAnsi" w:cstheme="majorHAnsi"/>
          <w:szCs w:val="24"/>
          <w:lang w:eastAsia="fr-FR"/>
        </w:rPr>
        <w:t xml:space="preserve">esses souillées, aiguilles </w:t>
      </w:r>
      <w:proofErr w:type="gramStart"/>
      <w:r w:rsidR="004F00A8">
        <w:rPr>
          <w:rFonts w:asciiTheme="majorHAnsi" w:eastAsia="Times New Roman" w:hAnsiTheme="majorHAnsi" w:cstheme="majorHAnsi"/>
          <w:szCs w:val="24"/>
          <w:lang w:eastAsia="fr-FR"/>
        </w:rPr>
        <w:t>etc.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>….</w:t>
      </w:r>
      <w:proofErr w:type="gramEnd"/>
      <w:r w:rsidRPr="005429B7">
        <w:rPr>
          <w:rFonts w:asciiTheme="majorHAnsi" w:eastAsia="Times New Roman" w:hAnsiTheme="majorHAnsi" w:cstheme="majorHAnsi"/>
          <w:szCs w:val="24"/>
          <w:u w:val="single"/>
          <w:lang w:eastAsia="fr-FR"/>
        </w:rPr>
        <w:t>)</w:t>
      </w:r>
      <w:r w:rsidRPr="005429B7">
        <w:rPr>
          <w:rFonts w:asciiTheme="majorHAnsi" w:eastAsia="Times New Roman" w:hAnsiTheme="majorHAnsi" w:cstheme="majorHAnsi"/>
          <w:szCs w:val="24"/>
          <w:lang w:eastAsia="fr-FR"/>
        </w:rPr>
        <w:t xml:space="preserve"> peuvent être mis directement dans la box DASRI dès la fin de l’acte</w:t>
      </w:r>
    </w:p>
    <w:p w:rsidR="005429B7" w:rsidRPr="005429B7" w:rsidRDefault="005429B7" w:rsidP="005429B7">
      <w:pPr>
        <w:spacing w:after="0" w:line="240" w:lineRule="auto"/>
        <w:jc w:val="both"/>
        <w:rPr>
          <w:rFonts w:asciiTheme="majorHAnsi" w:eastAsia="Times New Roman" w:hAnsiTheme="majorHAnsi" w:cstheme="majorHAnsi"/>
          <w:szCs w:val="24"/>
          <w:lang w:eastAsia="fr-FR"/>
        </w:rPr>
      </w:pPr>
    </w:p>
    <w:p w:rsidR="005429B7" w:rsidRPr="004F00A8" w:rsidRDefault="005429B7" w:rsidP="005429B7">
      <w:pPr>
        <w:spacing w:after="0" w:line="240" w:lineRule="auto"/>
        <w:rPr>
          <w:rFonts w:eastAsia="Times New Roman" w:cstheme="minorHAnsi"/>
          <w:b/>
          <w:bCs/>
          <w:i/>
          <w:szCs w:val="24"/>
          <w:u w:val="single"/>
          <w:lang w:eastAsia="fr-FR"/>
        </w:rPr>
      </w:pPr>
      <w:r w:rsidRPr="004F00A8">
        <w:rPr>
          <w:rFonts w:eastAsia="Times New Roman" w:cstheme="minorHAnsi"/>
          <w:b/>
          <w:bCs/>
          <w:i/>
          <w:szCs w:val="24"/>
          <w:u w:val="single"/>
          <w:lang w:eastAsia="fr-FR"/>
        </w:rPr>
        <w:t>E</w:t>
      </w:r>
      <w:r w:rsidR="004F00A8" w:rsidRPr="004F00A8">
        <w:rPr>
          <w:rFonts w:eastAsia="Times New Roman" w:cstheme="minorHAnsi"/>
          <w:b/>
          <w:bCs/>
          <w:i/>
          <w:szCs w:val="24"/>
          <w:u w:val="single"/>
          <w:lang w:eastAsia="fr-FR"/>
        </w:rPr>
        <w:t>valuation :</w:t>
      </w:r>
    </w:p>
    <w:p w:rsidR="005429B7" w:rsidRPr="005429B7" w:rsidRDefault="005429B7" w:rsidP="005429B7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</w:pPr>
    </w:p>
    <w:p w:rsidR="005429B7" w:rsidRPr="005429B7" w:rsidRDefault="005429B7" w:rsidP="005429B7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fr-FR"/>
        </w:rPr>
      </w:pPr>
      <w:r w:rsidRPr="005429B7">
        <w:rPr>
          <w:rFonts w:asciiTheme="majorHAnsi" w:eastAsia="Times New Roman" w:hAnsiTheme="majorHAnsi" w:cstheme="majorHAnsi"/>
          <w:color w:val="000000"/>
          <w:kern w:val="24"/>
          <w:szCs w:val="24"/>
          <w:lang w:eastAsia="fr-FR"/>
        </w:rPr>
        <w:t>Bilan annuel d’activité du CSTH</w:t>
      </w:r>
    </w:p>
    <w:p w:rsidR="005429B7" w:rsidRPr="005429B7" w:rsidRDefault="005429B7" w:rsidP="005429B7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fr-FR"/>
        </w:rPr>
      </w:pPr>
    </w:p>
    <w:p w:rsidR="0072579B" w:rsidRPr="005429B7" w:rsidRDefault="0072579B" w:rsidP="0072579B">
      <w:pPr>
        <w:rPr>
          <w:rFonts w:asciiTheme="majorHAnsi" w:hAnsiTheme="majorHAnsi" w:cstheme="majorHAnsi"/>
          <w:sz w:val="20"/>
        </w:rPr>
      </w:pPr>
    </w:p>
    <w:sectPr w:rsidR="0072579B" w:rsidRPr="005429B7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Default="005429B7" w:rsidP="007F0ADB">
    <w:pPr>
      <w:pStyle w:val="Pieddepage"/>
    </w:pPr>
    <w:r w:rsidRPr="005429B7">
      <w:rPr>
        <w:rFonts w:ascii="Arial" w:hAnsi="Arial" w:cs="Arial"/>
        <w:i/>
        <w:color w:val="000080"/>
        <w:sz w:val="12"/>
        <w:szCs w:val="16"/>
      </w:rPr>
      <w:t>HVCVL/HAD/TRANSFUSION/GESTION-PSL-CULM-DASRI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48B"/>
    <w:multiLevelType w:val="hybridMultilevel"/>
    <w:tmpl w:val="C2826A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08C2"/>
    <w:multiLevelType w:val="hybridMultilevel"/>
    <w:tmpl w:val="651C425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4A259F"/>
    <w:multiLevelType w:val="hybridMultilevel"/>
    <w:tmpl w:val="67383778"/>
    <w:lvl w:ilvl="0" w:tplc="F5A691C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A691CE"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9105F"/>
    <w:multiLevelType w:val="hybridMultilevel"/>
    <w:tmpl w:val="621427AA"/>
    <w:lvl w:ilvl="0" w:tplc="040C000B">
      <w:start w:val="1"/>
      <w:numFmt w:val="bullet"/>
      <w:lvlText w:val=""/>
      <w:lvlJc w:val="left"/>
      <w:pPr>
        <w:ind w:left="31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38" w:hanging="360"/>
      </w:pPr>
      <w:rPr>
        <w:rFonts w:ascii="Wingdings" w:hAnsi="Wingdings" w:hint="default"/>
      </w:rPr>
    </w:lvl>
  </w:abstractNum>
  <w:abstractNum w:abstractNumId="5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FC3CA4"/>
    <w:multiLevelType w:val="hybridMultilevel"/>
    <w:tmpl w:val="A6F0D05C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7" w15:restartNumberingAfterBreak="0">
    <w:nsid w:val="112737FF"/>
    <w:multiLevelType w:val="hybridMultilevel"/>
    <w:tmpl w:val="4AF87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20836"/>
    <w:multiLevelType w:val="hybridMultilevel"/>
    <w:tmpl w:val="D1A8BD5C"/>
    <w:lvl w:ilvl="0" w:tplc="BBD0B2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16E9F"/>
    <w:multiLevelType w:val="hybridMultilevel"/>
    <w:tmpl w:val="B592279E"/>
    <w:lvl w:ilvl="0" w:tplc="040C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0" w15:restartNumberingAfterBreak="0">
    <w:nsid w:val="17526161"/>
    <w:multiLevelType w:val="hybridMultilevel"/>
    <w:tmpl w:val="450E7DFC"/>
    <w:lvl w:ilvl="0" w:tplc="CB224C12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color w:val="2E74B5" w:themeColor="accent1" w:themeShade="BF"/>
        <w:sz w:val="24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84309D6"/>
    <w:multiLevelType w:val="hybridMultilevel"/>
    <w:tmpl w:val="76480C3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E596B"/>
    <w:multiLevelType w:val="hybridMultilevel"/>
    <w:tmpl w:val="F656CB30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3" w15:restartNumberingAfterBreak="0">
    <w:nsid w:val="19A34889"/>
    <w:multiLevelType w:val="hybridMultilevel"/>
    <w:tmpl w:val="FC5A93EE"/>
    <w:lvl w:ilvl="0" w:tplc="040C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14" w15:restartNumberingAfterBreak="0">
    <w:nsid w:val="1B36125E"/>
    <w:multiLevelType w:val="hybridMultilevel"/>
    <w:tmpl w:val="640A55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71B1"/>
    <w:multiLevelType w:val="hybridMultilevel"/>
    <w:tmpl w:val="B01807C0"/>
    <w:lvl w:ilvl="0" w:tplc="DA3AA4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07B0E"/>
    <w:multiLevelType w:val="multilevel"/>
    <w:tmpl w:val="372625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072F0C"/>
    <w:multiLevelType w:val="hybridMultilevel"/>
    <w:tmpl w:val="EE7EEEF0"/>
    <w:lvl w:ilvl="0" w:tplc="040C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18" w15:restartNumberingAfterBreak="0">
    <w:nsid w:val="253818F2"/>
    <w:multiLevelType w:val="hybridMultilevel"/>
    <w:tmpl w:val="2702DD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CF74398"/>
    <w:multiLevelType w:val="hybridMultilevel"/>
    <w:tmpl w:val="699ABCD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A004E"/>
    <w:multiLevelType w:val="hybridMultilevel"/>
    <w:tmpl w:val="C76C2E7A"/>
    <w:lvl w:ilvl="0" w:tplc="77BAAF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AB2652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89AAD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8DE4E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F4B44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04F6A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5C92B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B7082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968624B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22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D393F"/>
    <w:multiLevelType w:val="hybridMultilevel"/>
    <w:tmpl w:val="CF2208A8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90AC0"/>
    <w:multiLevelType w:val="hybridMultilevel"/>
    <w:tmpl w:val="1816565E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2FA3C50"/>
    <w:multiLevelType w:val="hybridMultilevel"/>
    <w:tmpl w:val="FC4A38C8"/>
    <w:lvl w:ilvl="0" w:tplc="F5A691C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115B9D"/>
    <w:multiLevelType w:val="hybridMultilevel"/>
    <w:tmpl w:val="CBCE1C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7274C"/>
    <w:multiLevelType w:val="hybridMultilevel"/>
    <w:tmpl w:val="81F88582"/>
    <w:lvl w:ilvl="0" w:tplc="6A12A19A">
      <w:start w:val="1"/>
      <w:numFmt w:val="decimal"/>
      <w:lvlText w:val="%1)"/>
      <w:lvlJc w:val="left"/>
      <w:pPr>
        <w:ind w:left="1068" w:hanging="708"/>
      </w:pPr>
      <w:rPr>
        <w:rFonts w:hint="default"/>
        <w:i/>
        <w:color w:val="7030A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72398"/>
    <w:multiLevelType w:val="hybridMultilevel"/>
    <w:tmpl w:val="E67011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135AD"/>
    <w:multiLevelType w:val="hybridMultilevel"/>
    <w:tmpl w:val="F5742DC2"/>
    <w:lvl w:ilvl="0" w:tplc="E25C9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11786"/>
    <w:multiLevelType w:val="hybridMultilevel"/>
    <w:tmpl w:val="E8883C50"/>
    <w:lvl w:ilvl="0" w:tplc="040C0003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32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424EE"/>
    <w:multiLevelType w:val="hybridMultilevel"/>
    <w:tmpl w:val="191ED3FE"/>
    <w:lvl w:ilvl="0" w:tplc="CED8EBAC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87A4E"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3AA45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EastAsia" w:hAnsi="Calibri" w:cstheme="minorBidi" w:hint="default"/>
        <w:color w:val="000000" w:themeColor="text1"/>
        <w:sz w:val="24"/>
      </w:rPr>
    </w:lvl>
    <w:lvl w:ilvl="3" w:tplc="A2A6650E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E8FC0A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0E0FDC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3E79C0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4C34AA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3CC654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433438"/>
    <w:multiLevelType w:val="hybridMultilevel"/>
    <w:tmpl w:val="8940E434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37" w15:restartNumberingAfterBreak="0">
    <w:nsid w:val="65066204"/>
    <w:multiLevelType w:val="hybridMultilevel"/>
    <w:tmpl w:val="268C0CD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2F6D99"/>
    <w:multiLevelType w:val="hybridMultilevel"/>
    <w:tmpl w:val="BF801D4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D081491"/>
    <w:multiLevelType w:val="hybridMultilevel"/>
    <w:tmpl w:val="685AE0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C431E"/>
    <w:multiLevelType w:val="hybridMultilevel"/>
    <w:tmpl w:val="A1DC03CE"/>
    <w:lvl w:ilvl="0" w:tplc="9E1035F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96011"/>
    <w:multiLevelType w:val="hybridMultilevel"/>
    <w:tmpl w:val="62A84CCE"/>
    <w:lvl w:ilvl="0" w:tplc="F5A691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55C74"/>
    <w:multiLevelType w:val="hybridMultilevel"/>
    <w:tmpl w:val="6342434C"/>
    <w:lvl w:ilvl="0" w:tplc="040C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4" w15:restartNumberingAfterBreak="0">
    <w:nsid w:val="79E402DE"/>
    <w:multiLevelType w:val="hybridMultilevel"/>
    <w:tmpl w:val="7250E674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40"/>
  </w:num>
  <w:num w:numId="4">
    <w:abstractNumId w:val="32"/>
  </w:num>
  <w:num w:numId="5">
    <w:abstractNumId w:val="35"/>
  </w:num>
  <w:num w:numId="6">
    <w:abstractNumId w:val="5"/>
  </w:num>
  <w:num w:numId="7">
    <w:abstractNumId w:val="22"/>
  </w:num>
  <w:num w:numId="8">
    <w:abstractNumId w:val="19"/>
  </w:num>
  <w:num w:numId="9">
    <w:abstractNumId w:val="33"/>
  </w:num>
  <w:num w:numId="10">
    <w:abstractNumId w:val="9"/>
  </w:num>
  <w:num w:numId="11">
    <w:abstractNumId w:val="13"/>
  </w:num>
  <w:num w:numId="12">
    <w:abstractNumId w:val="31"/>
  </w:num>
  <w:num w:numId="13">
    <w:abstractNumId w:val="6"/>
  </w:num>
  <w:num w:numId="14">
    <w:abstractNumId w:val="27"/>
  </w:num>
  <w:num w:numId="15">
    <w:abstractNumId w:val="44"/>
  </w:num>
  <w:num w:numId="16">
    <w:abstractNumId w:val="28"/>
  </w:num>
  <w:num w:numId="17">
    <w:abstractNumId w:val="18"/>
  </w:num>
  <w:num w:numId="18">
    <w:abstractNumId w:val="12"/>
  </w:num>
  <w:num w:numId="19">
    <w:abstractNumId w:val="36"/>
  </w:num>
  <w:num w:numId="20">
    <w:abstractNumId w:val="41"/>
  </w:num>
  <w:num w:numId="21">
    <w:abstractNumId w:val="4"/>
  </w:num>
  <w:num w:numId="22">
    <w:abstractNumId w:val="23"/>
  </w:num>
  <w:num w:numId="23">
    <w:abstractNumId w:val="43"/>
  </w:num>
  <w:num w:numId="24">
    <w:abstractNumId w:val="17"/>
  </w:num>
  <w:num w:numId="25">
    <w:abstractNumId w:val="34"/>
  </w:num>
  <w:num w:numId="26">
    <w:abstractNumId w:val="1"/>
  </w:num>
  <w:num w:numId="27">
    <w:abstractNumId w:val="21"/>
  </w:num>
  <w:num w:numId="28">
    <w:abstractNumId w:val="24"/>
  </w:num>
  <w:num w:numId="29">
    <w:abstractNumId w:val="2"/>
  </w:num>
  <w:num w:numId="30">
    <w:abstractNumId w:val="25"/>
  </w:num>
  <w:num w:numId="31">
    <w:abstractNumId w:val="42"/>
  </w:num>
  <w:num w:numId="32">
    <w:abstractNumId w:val="38"/>
  </w:num>
  <w:num w:numId="33">
    <w:abstractNumId w:val="8"/>
  </w:num>
  <w:num w:numId="34">
    <w:abstractNumId w:val="7"/>
  </w:num>
  <w:num w:numId="35">
    <w:abstractNumId w:val="11"/>
  </w:num>
  <w:num w:numId="36">
    <w:abstractNumId w:val="14"/>
  </w:num>
  <w:num w:numId="37">
    <w:abstractNumId w:val="37"/>
  </w:num>
  <w:num w:numId="38">
    <w:abstractNumId w:val="20"/>
  </w:num>
  <w:num w:numId="39">
    <w:abstractNumId w:val="15"/>
  </w:num>
  <w:num w:numId="40">
    <w:abstractNumId w:val="0"/>
  </w:num>
  <w:num w:numId="41">
    <w:abstractNumId w:val="16"/>
  </w:num>
  <w:num w:numId="42">
    <w:abstractNumId w:val="39"/>
  </w:num>
  <w:num w:numId="43">
    <w:abstractNumId w:val="26"/>
  </w:num>
  <w:num w:numId="44">
    <w:abstractNumId w:val="30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0B1F76"/>
    <w:rsid w:val="000B7276"/>
    <w:rsid w:val="001402D0"/>
    <w:rsid w:val="0014394F"/>
    <w:rsid w:val="00186CD5"/>
    <w:rsid w:val="001F6AB9"/>
    <w:rsid w:val="0025104A"/>
    <w:rsid w:val="00273F0A"/>
    <w:rsid w:val="0029033F"/>
    <w:rsid w:val="002A07E7"/>
    <w:rsid w:val="002C1192"/>
    <w:rsid w:val="0033287C"/>
    <w:rsid w:val="0034566B"/>
    <w:rsid w:val="00366B89"/>
    <w:rsid w:val="003F109A"/>
    <w:rsid w:val="004679D3"/>
    <w:rsid w:val="00470594"/>
    <w:rsid w:val="004F00A8"/>
    <w:rsid w:val="00526625"/>
    <w:rsid w:val="005429B7"/>
    <w:rsid w:val="00554F14"/>
    <w:rsid w:val="005B050B"/>
    <w:rsid w:val="005C553F"/>
    <w:rsid w:val="0061450D"/>
    <w:rsid w:val="006512AA"/>
    <w:rsid w:val="006754D0"/>
    <w:rsid w:val="0068614E"/>
    <w:rsid w:val="0072579B"/>
    <w:rsid w:val="00734F1B"/>
    <w:rsid w:val="007C1278"/>
    <w:rsid w:val="007F0ADB"/>
    <w:rsid w:val="008F0DC7"/>
    <w:rsid w:val="00906F2F"/>
    <w:rsid w:val="00936547"/>
    <w:rsid w:val="00982855"/>
    <w:rsid w:val="009E7C8D"/>
    <w:rsid w:val="009F1778"/>
    <w:rsid w:val="00A80F10"/>
    <w:rsid w:val="00A84185"/>
    <w:rsid w:val="00AB5993"/>
    <w:rsid w:val="00B053AB"/>
    <w:rsid w:val="00B416D1"/>
    <w:rsid w:val="00B432ED"/>
    <w:rsid w:val="00B7265B"/>
    <w:rsid w:val="00BC63D7"/>
    <w:rsid w:val="00C1319D"/>
    <w:rsid w:val="00C331EA"/>
    <w:rsid w:val="00C80EFE"/>
    <w:rsid w:val="00CA2275"/>
    <w:rsid w:val="00CE17D7"/>
    <w:rsid w:val="00CE47D1"/>
    <w:rsid w:val="00D0718D"/>
    <w:rsid w:val="00D34273"/>
    <w:rsid w:val="00D4316B"/>
    <w:rsid w:val="00D806C2"/>
    <w:rsid w:val="00DC36D8"/>
    <w:rsid w:val="00E01806"/>
    <w:rsid w:val="00E2356D"/>
    <w:rsid w:val="00E365BE"/>
    <w:rsid w:val="00E71160"/>
    <w:rsid w:val="00E73FF9"/>
    <w:rsid w:val="00E77183"/>
    <w:rsid w:val="00F3500B"/>
    <w:rsid w:val="00F51D5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9C74E7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F1778"/>
    <w:pPr>
      <w:keepNext/>
      <w:spacing w:after="0" w:line="240" w:lineRule="auto"/>
      <w:outlineLvl w:val="0"/>
    </w:pPr>
    <w:rPr>
      <w:rFonts w:ascii="Gill Sans MT" w:eastAsia="Arial Unicode MS" w:hAnsi="Gill Sans MT" w:cs="Arial Unicode MS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rsid w:val="009F1778"/>
    <w:rPr>
      <w:rFonts w:ascii="Gill Sans MT" w:eastAsia="Arial Unicode MS" w:hAnsi="Gill Sans MT" w:cs="Arial Unicode MS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38</cp:revision>
  <dcterms:created xsi:type="dcterms:W3CDTF">2020-10-16T12:52:00Z</dcterms:created>
  <dcterms:modified xsi:type="dcterms:W3CDTF">2022-01-04T09:46:00Z</dcterms:modified>
</cp:coreProperties>
</file>