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4B17F5" w:rsidP="00E77183">
            <w:r>
              <w:rPr>
                <w:sz w:val="24"/>
              </w:rPr>
              <w:t>HVCVL/FORMATION/BON</w:t>
            </w:r>
            <w:r w:rsidR="007706F6">
              <w:rPr>
                <w:sz w:val="24"/>
              </w:rPr>
              <w:t>NES-PRATIQUES-TRANSFUSIONNELLES/HABILITATION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</w:p>
        </w:tc>
      </w:tr>
    </w:tbl>
    <w:p w:rsidR="00E77183" w:rsidRDefault="00E77183"/>
    <w:p w:rsidR="00E77183" w:rsidRDefault="00E77183"/>
    <w:p w:rsidR="00470594" w:rsidRDefault="00470594"/>
    <w:p w:rsidR="00DE5422" w:rsidRDefault="00DE5422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102372</wp:posOffset>
                </wp:positionV>
                <wp:extent cx="5745167" cy="329514"/>
                <wp:effectExtent l="0" t="0" r="2730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329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4B17F5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Habilitation des professionnels en charge du dépôt de 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05pt;width:452.4pt;height:2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4B17F5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Habilitation des professionnels en charge du dépôt de sang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4B17F5" w:rsidRDefault="004B17F5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4B17F5" w:rsidRDefault="00DE5422" w:rsidP="004B17F5">
      <w:r>
        <w:t>Ce protocole a pour but</w:t>
      </w:r>
      <w:r w:rsidR="004B17F5">
        <w:t xml:space="preserve"> de définir les modalités d’habilitation des professionnels pouvant intervenir au dépôt de sang (relais/urgence/délivrance) du Centre Hospitalier de</w:t>
      </w:r>
      <w:r w:rsidR="004B17F5" w:rsidRPr="009A7936">
        <w:rPr>
          <w:highlight w:val="lightGray"/>
        </w:rPr>
        <w:t>…</w:t>
      </w:r>
      <w:r w:rsidR="004B17F5">
        <w:rPr>
          <w:highlight w:val="lightGray"/>
        </w:rPr>
        <w:t>…</w:t>
      </w:r>
      <w:proofErr w:type="gramStart"/>
      <w:r w:rsidR="004B17F5">
        <w:rPr>
          <w:highlight w:val="lightGray"/>
        </w:rPr>
        <w:t>……</w:t>
      </w:r>
      <w:r w:rsidR="004B17F5" w:rsidRPr="009A7936">
        <w:rPr>
          <w:highlight w:val="lightGray"/>
        </w:rPr>
        <w:t>.</w:t>
      </w:r>
      <w:proofErr w:type="gramEnd"/>
      <w:r w:rsidR="004B17F5" w:rsidRPr="009A7936">
        <w:rPr>
          <w:highlight w:val="lightGray"/>
        </w:rPr>
        <w:t>.</w:t>
      </w:r>
    </w:p>
    <w:p w:rsidR="0061450D" w:rsidRDefault="0061450D"/>
    <w:p w:rsidR="004B17F5" w:rsidRDefault="004B17F5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4B17F5" w:rsidRPr="004B17F5" w:rsidRDefault="004B17F5" w:rsidP="004B17F5">
      <w:pPr>
        <w:pStyle w:val="Paragraphedeliste"/>
        <w:numPr>
          <w:ilvl w:val="0"/>
          <w:numId w:val="11"/>
        </w:numPr>
        <w:spacing w:after="200" w:line="276" w:lineRule="auto"/>
        <w:ind w:left="993"/>
        <w:rPr>
          <w:b/>
        </w:rPr>
      </w:pPr>
      <w:r w:rsidRPr="007706F6">
        <w:rPr>
          <w:b/>
        </w:rPr>
        <w:t>Décision du 10 mars 2020</w:t>
      </w:r>
      <w:r>
        <w:rPr>
          <w:b/>
        </w:rPr>
        <w:t xml:space="preserve"> </w:t>
      </w:r>
      <w:r w:rsidRPr="007069EC">
        <w:t>définissant les principes de bonnes pratiques prévues à l’article L.1222-12 du Code de la Santé Publique</w:t>
      </w:r>
    </w:p>
    <w:p w:rsidR="004B17F5" w:rsidRDefault="004B17F5" w:rsidP="004B17F5">
      <w:pPr>
        <w:pStyle w:val="Paragraphedeliste"/>
        <w:spacing w:after="200" w:line="276" w:lineRule="auto"/>
        <w:ind w:left="993"/>
      </w:pPr>
    </w:p>
    <w:p w:rsidR="004B17F5" w:rsidRPr="007069EC" w:rsidRDefault="004B17F5" w:rsidP="004B17F5">
      <w:pPr>
        <w:pStyle w:val="Paragraphedeliste"/>
        <w:spacing w:after="200" w:line="276" w:lineRule="auto"/>
        <w:ind w:left="993"/>
        <w:rPr>
          <w:b/>
        </w:rPr>
      </w:pPr>
      <w:bookmarkStart w:id="0" w:name="_GoBack"/>
      <w:bookmarkEnd w:id="0"/>
    </w:p>
    <w:p w:rsidR="00470594" w:rsidRPr="004B17F5" w:rsidRDefault="004B17F5">
      <w:pPr>
        <w:rPr>
          <w:b/>
          <w:i/>
          <w:u w:val="single"/>
        </w:rPr>
      </w:pPr>
      <w:r w:rsidRPr="004B17F5">
        <w:rPr>
          <w:b/>
          <w:i/>
          <w:u w:val="single"/>
        </w:rPr>
        <w:t>Personnel concerné</w:t>
      </w:r>
      <w:r w:rsidRPr="004B17F5">
        <w:rPr>
          <w:b/>
          <w:i/>
        </w:rPr>
        <w:t> :</w:t>
      </w:r>
    </w:p>
    <w:p w:rsidR="004B17F5" w:rsidRDefault="004B17F5" w:rsidP="004B17F5">
      <w:r>
        <w:t>IDE/IADE/CADRE/TECHNICIEN pouvant intervenir au sein du dépôt de sang</w:t>
      </w:r>
    </w:p>
    <w:p w:rsidR="004B17F5" w:rsidRDefault="004B17F5" w:rsidP="004B17F5"/>
    <w:p w:rsidR="004B17F5" w:rsidRDefault="004B17F5" w:rsidP="004B17F5"/>
    <w:p w:rsidR="00470594" w:rsidRDefault="004B17F5">
      <w:r w:rsidRPr="004B17F5">
        <w:rPr>
          <w:b/>
          <w:i/>
          <w:u w:val="single"/>
        </w:rPr>
        <w:t>Documents associés</w:t>
      </w:r>
      <w:r>
        <w:t> :</w:t>
      </w:r>
    </w:p>
    <w:p w:rsidR="00470594" w:rsidRDefault="004B17F5" w:rsidP="004B17F5">
      <w:pPr>
        <w:pStyle w:val="Paragraphedeliste"/>
        <w:numPr>
          <w:ilvl w:val="0"/>
          <w:numId w:val="11"/>
        </w:numPr>
      </w:pPr>
      <w:r>
        <w:t>HVCVL/FORMATION/BON</w:t>
      </w:r>
      <w:r w:rsidR="007706F6">
        <w:t>NES-PRATIQUES-TRANSFUSIONNELLES</w:t>
      </w:r>
    </w:p>
    <w:p w:rsidR="00470594" w:rsidRDefault="00470594"/>
    <w:p w:rsidR="004B17F5" w:rsidRDefault="004B17F5"/>
    <w:p w:rsidR="004B17F5" w:rsidRDefault="004B17F5"/>
    <w:p w:rsidR="004B17F5" w:rsidRDefault="004B17F5"/>
    <w:p w:rsidR="004B17F5" w:rsidRDefault="004B17F5">
      <w:r w:rsidRPr="004B17F5">
        <w:rPr>
          <w:b/>
          <w:i/>
          <w:u w:val="single"/>
        </w:rPr>
        <w:lastRenderedPageBreak/>
        <w:t>Glossaire </w:t>
      </w:r>
      <w:r>
        <w:t>: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DU</w:t>
      </w:r>
      <w:r>
        <w:t> : Dépôt d’Urgence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DR</w:t>
      </w:r>
      <w:r>
        <w:t> : Dépôt Relai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DU/DR</w:t>
      </w:r>
      <w:r>
        <w:t> : Dépôt Urgence/Relai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DD</w:t>
      </w:r>
      <w:r>
        <w:t> : Dépôt de Délivrance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EFS </w:t>
      </w:r>
      <w:r>
        <w:t>: Etablissement Français du Sang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ES</w:t>
      </w:r>
      <w:r>
        <w:t> : Etablissement de Santé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PSL</w:t>
      </w:r>
      <w:r>
        <w:t> : Produit Sanguin Labile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CGR</w:t>
      </w:r>
      <w:r>
        <w:t> : Concentré de Globule Rouge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PFC</w:t>
      </w:r>
      <w:r>
        <w:t> : Plasma Frais Congelé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PLYO</w:t>
      </w:r>
      <w:r>
        <w:t> : Plasma Lyophilisé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RAI</w:t>
      </w:r>
      <w:r>
        <w:t> : Recherche d’Agglutinines Irrégulières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EDC</w:t>
      </w:r>
      <w:r>
        <w:t> : Epreuve Directe de Compatibilité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VIH</w:t>
      </w:r>
      <w:r>
        <w:t> : Virus de l’Immunodéficience Humaine</w:t>
      </w:r>
    </w:p>
    <w:p w:rsidR="004B17F5" w:rsidRDefault="004B17F5" w:rsidP="004B17F5">
      <w:pPr>
        <w:pStyle w:val="Paragraphedeliste"/>
        <w:numPr>
          <w:ilvl w:val="0"/>
          <w:numId w:val="10"/>
        </w:numPr>
        <w:spacing w:after="200" w:line="276" w:lineRule="auto"/>
      </w:pPr>
      <w:r w:rsidRPr="00852819">
        <w:rPr>
          <w:b/>
        </w:rPr>
        <w:t>VHC</w:t>
      </w:r>
      <w:r>
        <w:t> : Virus de l’Hépatite C</w:t>
      </w:r>
    </w:p>
    <w:p w:rsidR="00470594" w:rsidRDefault="004B17F5" w:rsidP="004B17F5">
      <w:pPr>
        <w:pStyle w:val="Paragraphedeliste"/>
        <w:numPr>
          <w:ilvl w:val="0"/>
          <w:numId w:val="10"/>
        </w:numPr>
      </w:pPr>
      <w:r w:rsidRPr="004B17F5">
        <w:rPr>
          <w:b/>
        </w:rPr>
        <w:t>NFS</w:t>
      </w:r>
      <w:r>
        <w:t> : Numération de la Formule Sanguine</w:t>
      </w:r>
    </w:p>
    <w:p w:rsidR="00470594" w:rsidRDefault="00E01DB2">
      <w:r w:rsidRPr="00E01DB2">
        <w:rPr>
          <w:b/>
          <w:i/>
          <w:u w:val="single"/>
        </w:rPr>
        <w:t>Actions et méthodes</w:t>
      </w:r>
      <w:r>
        <w:t> :</w:t>
      </w:r>
    </w:p>
    <w:p w:rsidR="00470594" w:rsidRDefault="00E01DB2">
      <w:r>
        <w:t>Le personnel intervenant au dépôt de sang doit bénéficier de formations intégrées au plan de formation de l’établissement.</w:t>
      </w:r>
    </w:p>
    <w:p w:rsidR="00E01DB2" w:rsidRDefault="00E01DB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6"/>
        <w:gridCol w:w="5522"/>
      </w:tblGrid>
      <w:tr w:rsidR="00E01DB2" w:rsidTr="00043281">
        <w:tc>
          <w:tcPr>
            <w:tcW w:w="3506" w:type="dxa"/>
          </w:tcPr>
          <w:p w:rsidR="00E01DB2" w:rsidRDefault="00E01DB2" w:rsidP="00043281">
            <w:r>
              <w:t>HABILITATION THEORIQUE INITIALE</w:t>
            </w:r>
          </w:p>
        </w:tc>
        <w:tc>
          <w:tcPr>
            <w:tcW w:w="5522" w:type="dxa"/>
          </w:tcPr>
          <w:p w:rsidR="00E01DB2" w:rsidRDefault="00E01DB2" w:rsidP="00043281">
            <w:r>
              <w:t xml:space="preserve">Formation </w:t>
            </w:r>
            <w:r w:rsidRPr="0074238E">
              <w:rPr>
                <w:highlight w:val="lightGray"/>
              </w:rPr>
              <w:t>externe/interne</w:t>
            </w:r>
            <w:r>
              <w:t xml:space="preserve"> « Fonctionnement d’un dépôt de sang »</w:t>
            </w:r>
          </w:p>
          <w:p w:rsidR="00E01DB2" w:rsidRDefault="00E01DB2" w:rsidP="00043281">
            <w:r>
              <w:t>Durée :</w:t>
            </w:r>
          </w:p>
          <w:p w:rsidR="00E01DB2" w:rsidRDefault="00E01DB2" w:rsidP="00043281">
            <w:r>
              <w:t>Organisme de formation :</w:t>
            </w:r>
          </w:p>
        </w:tc>
      </w:tr>
      <w:tr w:rsidR="00E01DB2" w:rsidTr="00043281">
        <w:tc>
          <w:tcPr>
            <w:tcW w:w="3506" w:type="dxa"/>
          </w:tcPr>
          <w:p w:rsidR="00E01DB2" w:rsidRDefault="00E01DB2" w:rsidP="00043281">
            <w:r>
              <w:t>HABILITATION PRATIQUE INITIALE</w:t>
            </w:r>
          </w:p>
        </w:tc>
        <w:tc>
          <w:tcPr>
            <w:tcW w:w="5522" w:type="dxa"/>
          </w:tcPr>
          <w:p w:rsidR="00E01DB2" w:rsidRDefault="00E01DB2" w:rsidP="00043281">
            <w:r>
              <w:t xml:space="preserve">Formation </w:t>
            </w:r>
            <w:r w:rsidRPr="0074238E">
              <w:rPr>
                <w:highlight w:val="lightGray"/>
              </w:rPr>
              <w:t>externe/interne</w:t>
            </w:r>
          </w:p>
          <w:p w:rsidR="00E01DB2" w:rsidRDefault="00E01DB2" w:rsidP="00043281">
            <w:r>
              <w:t>Durée :</w:t>
            </w:r>
          </w:p>
          <w:p w:rsidR="00E01DB2" w:rsidRDefault="00E01DB2" w:rsidP="00043281">
            <w:r>
              <w:t>Organisme de formation :</w:t>
            </w:r>
          </w:p>
        </w:tc>
      </w:tr>
      <w:tr w:rsidR="00E01DB2" w:rsidTr="00043281">
        <w:tc>
          <w:tcPr>
            <w:tcW w:w="3506" w:type="dxa"/>
          </w:tcPr>
          <w:p w:rsidR="00E01DB2" w:rsidRDefault="00E01DB2" w:rsidP="00043281">
            <w:r>
              <w:t>QUIZZ</w:t>
            </w:r>
          </w:p>
        </w:tc>
        <w:tc>
          <w:tcPr>
            <w:tcW w:w="5522" w:type="dxa"/>
          </w:tcPr>
          <w:p w:rsidR="00E01DB2" w:rsidRDefault="00E01DB2" w:rsidP="00043281">
            <w:r>
              <w:t>Le questionnaire d’évaluation des connaissances acquises comprend des questions portant sur :</w:t>
            </w:r>
          </w:p>
          <w:p w:rsidR="00E01DB2" w:rsidRDefault="00E01DB2" w:rsidP="00043281"/>
        </w:tc>
      </w:tr>
      <w:tr w:rsidR="00E01DB2" w:rsidTr="00043281">
        <w:tc>
          <w:tcPr>
            <w:tcW w:w="3506" w:type="dxa"/>
          </w:tcPr>
          <w:p w:rsidR="00E01DB2" w:rsidRDefault="00E01DB2" w:rsidP="00043281">
            <w:r>
              <w:t>RECONDUCTIONS DES HABILITATIONS</w:t>
            </w:r>
          </w:p>
        </w:tc>
        <w:tc>
          <w:tcPr>
            <w:tcW w:w="5522" w:type="dxa"/>
          </w:tcPr>
          <w:p w:rsidR="00E01DB2" w:rsidRDefault="00E01DB2" w:rsidP="00043281">
            <w:r>
              <w:t>Fréquence annuelle</w:t>
            </w:r>
          </w:p>
        </w:tc>
      </w:tr>
      <w:tr w:rsidR="00E01DB2" w:rsidTr="00043281">
        <w:tc>
          <w:tcPr>
            <w:tcW w:w="3506" w:type="dxa"/>
          </w:tcPr>
          <w:p w:rsidR="00E01DB2" w:rsidRDefault="00E01DB2" w:rsidP="00043281">
            <w:r>
              <w:t>FORMATON DE RECYCLAGE</w:t>
            </w:r>
          </w:p>
        </w:tc>
        <w:tc>
          <w:tcPr>
            <w:tcW w:w="5522" w:type="dxa"/>
          </w:tcPr>
          <w:p w:rsidR="00E01DB2" w:rsidRDefault="00E01DB2" w:rsidP="00043281">
            <w:r>
              <w:t xml:space="preserve">Formation sur </w:t>
            </w:r>
            <w:r w:rsidRPr="0074238E">
              <w:rPr>
                <w:highlight w:val="lightGray"/>
              </w:rPr>
              <w:t>(délai de remise à niveau)</w:t>
            </w:r>
          </w:p>
          <w:p w:rsidR="00E01DB2" w:rsidRDefault="00E01DB2" w:rsidP="00043281">
            <w:r>
              <w:t>Objectif : Maintien des compétences acquises</w:t>
            </w:r>
          </w:p>
          <w:p w:rsidR="00E01DB2" w:rsidRDefault="00E01DB2" w:rsidP="00043281">
            <w:r>
              <w:t>Fréquence :</w:t>
            </w:r>
          </w:p>
        </w:tc>
      </w:tr>
      <w:tr w:rsidR="00E01DB2" w:rsidTr="00043281">
        <w:tc>
          <w:tcPr>
            <w:tcW w:w="3506" w:type="dxa"/>
          </w:tcPr>
          <w:p w:rsidR="00E01DB2" w:rsidRDefault="00E01DB2" w:rsidP="00043281">
            <w:r>
              <w:t>TRACABILITE DES HABILITATIONS</w:t>
            </w:r>
          </w:p>
        </w:tc>
        <w:tc>
          <w:tcPr>
            <w:tcW w:w="5522" w:type="dxa"/>
          </w:tcPr>
          <w:p w:rsidR="00E01DB2" w:rsidRDefault="00E01DB2" w:rsidP="00043281"/>
          <w:p w:rsidR="00E01DB2" w:rsidRDefault="00E01DB2" w:rsidP="00043281"/>
        </w:tc>
      </w:tr>
    </w:tbl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4B17F5" w:rsidRPr="00554F14" w:rsidRDefault="004B17F5" w:rsidP="004B17F5">
            <w:pPr>
              <w:rPr>
                <w:b w:val="0"/>
                <w:sz w:val="18"/>
              </w:rPr>
            </w:pPr>
            <w:r w:rsidRPr="00554F14">
              <w:rPr>
                <w:sz w:val="18"/>
              </w:rPr>
              <w:t>Mme Marjorie BLIN</w:t>
            </w:r>
          </w:p>
          <w:p w:rsidR="00E2356D" w:rsidRPr="004B17F5" w:rsidRDefault="004B17F5" w:rsidP="004B17F5">
            <w:pPr>
              <w:rPr>
                <w:b w:val="0"/>
                <w:sz w:val="18"/>
              </w:rPr>
            </w:pPr>
            <w:r w:rsidRPr="004B17F5">
              <w:rPr>
                <w:b w:val="0"/>
                <w:sz w:val="16"/>
              </w:rPr>
              <w:t>Assistante</w:t>
            </w: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E01DB2" w:rsidRDefault="00E01DB2" w:rsidP="00E01DB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Quizz d’habilitation</w:t>
      </w:r>
    </w:p>
    <w:p w:rsidR="00E01DB2" w:rsidRDefault="00E01DB2" w:rsidP="00E01DB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« Fonctionnement d’un dépôt de sang »</w:t>
      </w:r>
    </w:p>
    <w:p w:rsidR="00E01DB2" w:rsidRDefault="00E01DB2" w:rsidP="00E01DB2">
      <w:pPr>
        <w:spacing w:after="0"/>
        <w:jc w:val="center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Quels sont les différents types de dépôts de sang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Dépôt d’urgence (DU)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relai (DR)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d’urgence/relai (DU/DR)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de délivrance (DD)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 xml:space="preserve">Quel est le type de dépôt présent au sein de </w:t>
      </w:r>
      <w:r w:rsidRPr="0074238E">
        <w:rPr>
          <w:highlight w:val="lightGray"/>
        </w:rPr>
        <w:t>(nom de l’Etablissement)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Dépôt d’urgence (DU)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relai (DR)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d’urgence/relai (DU/DR)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Dépôt de délivrance (DD)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Qu’est ce qui justifie l’implantation d’un dépôt de sang dans un hôpital ou une clinique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6"/>
        <w:gridCol w:w="2256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Distance kilométrique EFS-ES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 avec service de chirurgie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 avec service de maternité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Nombre de PSL délivrés/distribués par an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 xml:space="preserve">Qu’est ce qui a justifié, d’après vous, l’implantation du dépôt de sang au sein de </w:t>
      </w:r>
      <w:r w:rsidRPr="0074238E">
        <w:rPr>
          <w:highlight w:val="lightGray"/>
        </w:rPr>
        <w:t>(nom de l’Etablissement)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6"/>
        <w:gridCol w:w="2256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Distance kilométrique EFS-ES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 avec service de chirurgie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 avec service de maternité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Nombre de PSL délivrés/distribués par an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ind w:left="360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Quels types de produits sanguins labiles peut-on trouver au sein d’un dépôt d’urgence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CGR AB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CGR O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PFC AB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PFC O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/>
    <w:p w:rsidR="00E01DB2" w:rsidRDefault="00E01DB2" w:rsidP="00E01DB2"/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 dois-je vérifier chaque jour au dépôt de sang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 xml:space="preserve">Le nombre de PSL restant dans l’enceinte réfrigéré 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 xml:space="preserve">Si un PSL est dans l’enceinte </w:t>
            </w:r>
            <w:proofErr w:type="spellStart"/>
            <w:r>
              <w:t>thermostatée</w:t>
            </w:r>
            <w:proofErr w:type="spellEnd"/>
            <w:r>
              <w:t xml:space="preserve"> depuis 3 jours ou plus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température de l’enceinte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 xml:space="preserve">Quelle est la composition du stock du dépôt du </w:t>
      </w:r>
      <w:r w:rsidRPr="0074238E">
        <w:rPr>
          <w:highlight w:val="lightGray"/>
        </w:rPr>
        <w:t>(nom de l’Etablissement)</w:t>
      </w:r>
      <w: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2"/>
        <w:gridCol w:w="2260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CGR O RH :1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CGR O RH:-1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 xml:space="preserve">PFC 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Plaquettes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PLYO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Un patient de groupe sanguin A peut recevoir des CGR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0"/>
        <w:gridCol w:w="2262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O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A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B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AB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Un plasma décongelé AB peut être transfusé à un patient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0"/>
        <w:gridCol w:w="2262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O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A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B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De groupe AB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Citez deux qualifications applicables aux CGR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roofErr w:type="spellStart"/>
            <w:r>
              <w:t>Phénotypé</w:t>
            </w:r>
            <w:proofErr w:type="spellEnd"/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proofErr w:type="spellStart"/>
            <w:r>
              <w:t>Compatibilisé</w:t>
            </w:r>
            <w:proofErr w:type="spellEnd"/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Irradié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Préparation pédiatrique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ind w:left="360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Quelle est la température et la durée de conservation des CGR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2"/>
        <w:gridCol w:w="2260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+2°/+6°C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+20°/+24°C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&lt;-25°C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5 jours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42 jours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1 an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/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Quelle est la température et la durée de conservation des concentrés plaquettaires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2"/>
        <w:gridCol w:w="2260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+2°/+6°C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+20°/+24°C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&lt;-25°C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5 jours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42 jours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1 an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Quelle est la température de transport des CGR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2"/>
        <w:gridCol w:w="2260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+4°C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+2°/+10°C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+22°C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-25°C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Quels sont les items obligatoires d’identité patient sur la prescription de PSL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1"/>
        <w:gridCol w:w="2261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Nom marital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Nom de naissance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Nom d’usage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Prénom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Date de naissance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Sexe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Lieu de naissance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/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Quelle est la durée de validité des RAI (Recherches d’Agglutinines Irrégulières) en contexte transfusionnel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2"/>
        <w:gridCol w:w="2260"/>
      </w:tblGrid>
      <w:tr w:rsidR="00E01DB2" w:rsidTr="00043281">
        <w:tc>
          <w:tcPr>
            <w:tcW w:w="6912" w:type="dxa"/>
          </w:tcPr>
          <w:p w:rsidR="00E01DB2" w:rsidRDefault="00E01DB2" w:rsidP="00043281">
            <w:r>
              <w:t>1 jour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3 jours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21 jours avec dérogation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1 mois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6 mois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L’Epreuve Directe de Compatibilité au laboratoire est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Obligatoire avant toute transfusion chez une femme jeune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Obligatoire avant toute transfusion chez une femme enceinte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Peut remplacer la RAI dans le bilan pré-transfusionnel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Obligatoire en cas de RAI positive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Permet d’éviter la survenue d’une allo-immunisation érythrocytaire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D’une durée de validité de 24h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Parmi ces examens lesquels sont obligatoires avant toute transfusion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RAI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Hématocrite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2 déterminations de Groupe ABO (RH1)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 xml:space="preserve">2 déterminations de Phénotypes Rhésus </w:t>
            </w:r>
            <w:proofErr w:type="spellStart"/>
            <w:r>
              <w:t>Kell</w:t>
            </w:r>
            <w:proofErr w:type="spellEnd"/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Sérologie VIH et VHC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Quels sont les éléments à transmettre à l’EFS en cas de prescription de CGR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2 déterminations de groupes ABO RH KELL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RAI valide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NFS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Sérologie HIV et hépatite C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Poids du patient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Quels sont les éléments à transmettre à l’EFS en cas de prescription de concentrés plaquettaires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4"/>
        <w:gridCol w:w="2258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2 déterminations de groupes ABO RH KELL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RAI valide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NFS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Ionogramme sanguin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Poids du patient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ind w:left="360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En cas d’urgence vitale immédiate, je délivre les PSL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Sans délai et sans attendre le résultat de groupe sanguin et RAI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J’attends les résultats du groupe pour choisir les produits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J’attends les résultats du test de compatibilité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Je m’assure que les prélèvements pour IH sont faits avant transfusion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En cas d’utilisation du stock d’urgence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8"/>
        <w:gridCol w:w="2254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Je procède au réapprovisionnement du stock d’urgence sans délai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Je procède au réapprovisionnement du stock d’urgence en différé au lendemain par la navette selon avis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 xml:space="preserve">J’attends la prochaine navette pour réapprovisionner même le vendredi 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J’attends le renouvellement du stock d’urgence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A réception des PSL, quel(s) contrôle(s) réalisez-vous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Aucun, je fais confiance à l’EFS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L’identité du patient portée sur les documents EFS délivrés avec les produits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concordance entre la prescription et la quantité de produits délivrés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concordance entre la prescription et la qualité des produits délivrés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date de péremption de chaque produit délivré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concordance entre le N° du don noté sur le PSL et celui noté sur les documents de délivrance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L’aspect des produits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L’intégrité des produits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La couleur des eutectiques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spacing w:after="200" w:line="276" w:lineRule="auto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Lors de l’enlèvement d’un colis de PSL, le coursier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Indique oralement le nom du receveur en atteste des PSL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Arrive avec une prescription des produits sanguins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Remet un support qui permet d’identifier le receveur destinataire des PSL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spacing w:after="200" w:line="276" w:lineRule="auto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Contrôle ultime pré-transfusionnel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Peut-être fait en salle de soins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Est la vérification concordance identité : patient, fiche de délivrance, ordonnance, carte de groupe et le résultat de la RAI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Est la vérification concordance groupe sanguin : CGR, patient, fiche de délivrance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Ne doit être fait que pour des CGR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spacing w:after="200" w:line="276" w:lineRule="auto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 xml:space="preserve">La qualification des enceintes </w:t>
      </w:r>
      <w:proofErr w:type="spellStart"/>
      <w:r>
        <w:t>thermostatées</w:t>
      </w:r>
      <w:proofErr w:type="spellEnd"/>
      <w:r>
        <w:t xml:space="preserve"> du dépôt doit être faite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Tous les ans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Tous les 3 ans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A réception du nouveau matériel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Avant remise en service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En cas de changement de lieu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Après la visite de maintenance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Suite à une maintenance curative importante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 xml:space="preserve">L’enceinte </w:t>
      </w:r>
      <w:proofErr w:type="spellStart"/>
      <w:r>
        <w:t>thermostatée</w:t>
      </w:r>
      <w:proofErr w:type="spellEnd"/>
      <w:r>
        <w:t xml:space="preserve"> +4°C tombe en panne, que faites-vous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Déplacement des CGR dans l’enceinte +4°C de secours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Affichage « En panne » sur l’enceinte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Information auprès des services techniques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Information auprès de l’EFS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Information auprès du responsable du dépôt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Retour des CGR à l’EFS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Je ne fais rien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ind w:left="360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Le logiciel du dépôt de sang n’est pas opérationnel, que faites-vous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>Je ne distribue pas les PSL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J’applique la procédure dégradée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J’appelle le service informatique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J’informe dès que possible le cadre responsable du dépôt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pStyle w:val="Paragraphedeliste"/>
        <w:numPr>
          <w:ilvl w:val="0"/>
          <w:numId w:val="12"/>
        </w:numPr>
        <w:spacing w:after="200" w:line="276" w:lineRule="auto"/>
      </w:pPr>
      <w:r>
        <w:t>Le contrôle annuel du dépôt de sang réalisé par l’EFS sert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3"/>
        <w:gridCol w:w="2259"/>
      </w:tblGrid>
      <w:tr w:rsidR="00E01DB2" w:rsidTr="00043281">
        <w:trPr>
          <w:trHeight w:val="658"/>
        </w:trPr>
        <w:tc>
          <w:tcPr>
            <w:tcW w:w="6912" w:type="dxa"/>
          </w:tcPr>
          <w:p w:rsidR="00E01DB2" w:rsidRDefault="00E01DB2" w:rsidP="00043281">
            <w:pPr>
              <w:ind w:right="-1847"/>
            </w:pPr>
            <w:r>
              <w:t xml:space="preserve">Vérifier le respect des bonnes pratiques de distribution et de la convention </w:t>
            </w:r>
          </w:p>
          <w:p w:rsidR="00E01DB2" w:rsidRDefault="00E01DB2" w:rsidP="00043281">
            <w:pPr>
              <w:ind w:right="-1847"/>
            </w:pPr>
            <w:r>
              <w:t>de dépôt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Dire bonjour à l’équipe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J’appelle le service informatique</w:t>
            </w:r>
          </w:p>
        </w:tc>
        <w:tc>
          <w:tcPr>
            <w:tcW w:w="2300" w:type="dxa"/>
          </w:tcPr>
          <w:p w:rsidR="00E01DB2" w:rsidRDefault="00E01DB2" w:rsidP="00043281"/>
        </w:tc>
      </w:tr>
      <w:tr w:rsidR="00E01DB2" w:rsidTr="00043281">
        <w:tc>
          <w:tcPr>
            <w:tcW w:w="6912" w:type="dxa"/>
          </w:tcPr>
          <w:p w:rsidR="00E01DB2" w:rsidRDefault="00E01DB2" w:rsidP="00043281">
            <w:r>
              <w:t>J’informe dès que possible le cadre responsable du dépôt</w:t>
            </w:r>
          </w:p>
        </w:tc>
        <w:tc>
          <w:tcPr>
            <w:tcW w:w="2300" w:type="dxa"/>
          </w:tcPr>
          <w:p w:rsidR="00E01DB2" w:rsidRDefault="00E01DB2" w:rsidP="00043281"/>
        </w:tc>
      </w:tr>
    </w:tbl>
    <w:p w:rsidR="00E01DB2" w:rsidRDefault="00E01DB2" w:rsidP="00E01DB2">
      <w:pPr>
        <w:pStyle w:val="Paragraphedeliste"/>
      </w:pPr>
    </w:p>
    <w:p w:rsidR="00E01DB2" w:rsidRDefault="00E01DB2" w:rsidP="00E01DB2">
      <w:pPr>
        <w:spacing w:after="0"/>
        <w:jc w:val="center"/>
      </w:pPr>
    </w:p>
    <w:sectPr w:rsidR="00E01DB2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C2" w:rsidRDefault="00D806C2" w:rsidP="00CE47D1">
      <w:pPr>
        <w:spacing w:after="0" w:line="240" w:lineRule="auto"/>
      </w:pPr>
      <w:r>
        <w:separator/>
      </w:r>
    </w:p>
  </w:endnote>
  <w:end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7706F6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E01DB2">
      <w:rPr>
        <w:rFonts w:ascii="Arial" w:hAnsi="Arial" w:cs="Arial"/>
        <w:i/>
        <w:color w:val="000080"/>
        <w:sz w:val="12"/>
        <w:szCs w:val="16"/>
      </w:rPr>
      <w:t>CVL/FORMATION/BONNES</w:t>
    </w:r>
    <w:r>
      <w:rPr>
        <w:rFonts w:ascii="Arial" w:hAnsi="Arial" w:cs="Arial"/>
        <w:i/>
        <w:color w:val="000080"/>
        <w:sz w:val="12"/>
        <w:szCs w:val="16"/>
      </w:rPr>
      <w:t>-</w:t>
    </w:r>
    <w:r w:rsidR="00E01DB2">
      <w:rPr>
        <w:rFonts w:ascii="Arial" w:hAnsi="Arial" w:cs="Arial"/>
        <w:i/>
        <w:color w:val="000080"/>
        <w:sz w:val="12"/>
        <w:szCs w:val="16"/>
      </w:rPr>
      <w:t>PRATIQUES</w:t>
    </w:r>
    <w:r>
      <w:rPr>
        <w:rFonts w:ascii="Arial" w:hAnsi="Arial" w:cs="Arial"/>
        <w:i/>
        <w:color w:val="000080"/>
        <w:sz w:val="12"/>
        <w:szCs w:val="16"/>
      </w:rPr>
      <w:t>-TRANSFUSIONNELLES/HABILITATION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C2" w:rsidRDefault="00D806C2" w:rsidP="00CE47D1">
      <w:pPr>
        <w:spacing w:after="0" w:line="240" w:lineRule="auto"/>
      </w:pPr>
      <w:r>
        <w:separator/>
      </w:r>
    </w:p>
  </w:footnote>
  <w:footnote w:type="continuationSeparator" w:id="0">
    <w:p w:rsidR="00D806C2" w:rsidRDefault="00D806C2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03A5352"/>
    <w:multiLevelType w:val="hybridMultilevel"/>
    <w:tmpl w:val="41B8C080"/>
    <w:lvl w:ilvl="0" w:tplc="29FE5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6C18"/>
    <w:multiLevelType w:val="hybridMultilevel"/>
    <w:tmpl w:val="0450AE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61C9"/>
    <w:multiLevelType w:val="hybridMultilevel"/>
    <w:tmpl w:val="9FE6A2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F6AB9"/>
    <w:rsid w:val="0025104A"/>
    <w:rsid w:val="00273F0A"/>
    <w:rsid w:val="0033287C"/>
    <w:rsid w:val="0034566B"/>
    <w:rsid w:val="00470594"/>
    <w:rsid w:val="004B17F5"/>
    <w:rsid w:val="00526625"/>
    <w:rsid w:val="00554F14"/>
    <w:rsid w:val="005B050B"/>
    <w:rsid w:val="0061450D"/>
    <w:rsid w:val="006754D0"/>
    <w:rsid w:val="00734F1B"/>
    <w:rsid w:val="007706F6"/>
    <w:rsid w:val="007C1278"/>
    <w:rsid w:val="008F0DC7"/>
    <w:rsid w:val="00936547"/>
    <w:rsid w:val="009E7C8D"/>
    <w:rsid w:val="00A80F10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DE5422"/>
    <w:rsid w:val="00E01806"/>
    <w:rsid w:val="00E01DB2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7DD72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1270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23</cp:revision>
  <dcterms:created xsi:type="dcterms:W3CDTF">2020-10-16T12:52:00Z</dcterms:created>
  <dcterms:modified xsi:type="dcterms:W3CDTF">2020-11-05T11:19:00Z</dcterms:modified>
</cp:coreProperties>
</file>