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auGrille4-Accentuation1"/>
        <w:tblpPr w:leftFromText="141" w:rightFromText="141" w:vertAnchor="text" w:horzAnchor="margin" w:tblpY="760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73F0A" w:rsidTr="00E771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:rsidR="00273F0A" w:rsidRDefault="006D79F4" w:rsidP="00E77183">
            <w:r>
              <w:rPr>
                <w:sz w:val="24"/>
              </w:rPr>
              <w:t>HVCVL/ES/TRANSFUSION/TRANSFERT-URGENCE-PATIENT-PSL</w:t>
            </w:r>
          </w:p>
        </w:tc>
      </w:tr>
      <w:tr w:rsidR="00273F0A" w:rsidTr="00E771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:rsidR="00273F0A" w:rsidRPr="00B432ED" w:rsidRDefault="00FC530B" w:rsidP="00E77183">
            <w:pPr>
              <w:rPr>
                <w:sz w:val="18"/>
              </w:rPr>
            </w:pPr>
            <w:r w:rsidRPr="00B432ED">
              <w:rPr>
                <w:sz w:val="18"/>
              </w:rPr>
              <w:t xml:space="preserve">Date de rédaction : </w:t>
            </w:r>
            <w:r w:rsidR="00554F14">
              <w:rPr>
                <w:b w:val="0"/>
                <w:sz w:val="18"/>
              </w:rPr>
              <w:t>07/2017</w:t>
            </w:r>
          </w:p>
        </w:tc>
      </w:tr>
      <w:tr w:rsidR="00273F0A" w:rsidTr="00E771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:rsidR="00273F0A" w:rsidRPr="00B432ED" w:rsidRDefault="00FC530B" w:rsidP="00E77183">
            <w:pPr>
              <w:rPr>
                <w:sz w:val="18"/>
              </w:rPr>
            </w:pPr>
            <w:r w:rsidRPr="00B432ED">
              <w:rPr>
                <w:sz w:val="18"/>
              </w:rPr>
              <w:t xml:space="preserve">Date de diffusion : </w:t>
            </w:r>
            <w:r w:rsidR="003F109A">
              <w:rPr>
                <w:b w:val="0"/>
                <w:sz w:val="18"/>
              </w:rPr>
              <w:t>05/01/2021</w:t>
            </w:r>
          </w:p>
        </w:tc>
      </w:tr>
      <w:tr w:rsidR="00FC530B" w:rsidTr="00E771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:rsidR="00FC530B" w:rsidRPr="00B432ED" w:rsidRDefault="00FC530B" w:rsidP="00E77183">
            <w:pPr>
              <w:rPr>
                <w:sz w:val="18"/>
              </w:rPr>
            </w:pPr>
            <w:r w:rsidRPr="00B432ED">
              <w:rPr>
                <w:sz w:val="18"/>
              </w:rPr>
              <w:t xml:space="preserve">Version : </w:t>
            </w:r>
            <w:r w:rsidR="00554F14">
              <w:rPr>
                <w:b w:val="0"/>
                <w:sz w:val="18"/>
              </w:rPr>
              <w:t>03</w:t>
            </w:r>
          </w:p>
        </w:tc>
      </w:tr>
    </w:tbl>
    <w:p w:rsidR="00E77183" w:rsidRDefault="00E77183"/>
    <w:p w:rsidR="00E77183" w:rsidRDefault="00E77183"/>
    <w:p w:rsidR="00470594" w:rsidRDefault="00470594"/>
    <w:p w:rsidR="00470594" w:rsidRDefault="00E77183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104671</wp:posOffset>
                </wp:positionV>
                <wp:extent cx="5745167" cy="292905"/>
                <wp:effectExtent l="0" t="0" r="27305" b="1206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5167" cy="2929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C530B" w:rsidRPr="00FC530B" w:rsidRDefault="006D79F4" w:rsidP="00FC530B">
                            <w:pPr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Transfert d’urgence d’un patient avec ses PSL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0;margin-top:8.25pt;width:452.4pt;height:23.0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" fillcolor="#5b9bd5 [3204]" strokecolor="#1f4d78 [1604]" strokeweight="1pt">
                <v:textbox>
                  <w:txbxContent>
                    <w:p w:rsidR="00FC530B" w:rsidRPr="00FC530B" w:rsidRDefault="006D79F4" w:rsidP="00FC530B">
                      <w:pPr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Transfert d’urgence d’un patient avec ses PSL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470594" w:rsidRDefault="00470594"/>
    <w:p w:rsidR="00470594" w:rsidRDefault="00470594"/>
    <w:p w:rsidR="00E77183" w:rsidRDefault="00E77183"/>
    <w:p w:rsidR="00470594" w:rsidRPr="00E77183" w:rsidRDefault="00E77183">
      <w:pPr>
        <w:rPr>
          <w:b/>
          <w:i/>
        </w:rPr>
      </w:pPr>
      <w:r w:rsidRPr="00E77183">
        <w:rPr>
          <w:b/>
          <w:i/>
          <w:u w:val="single"/>
        </w:rPr>
        <w:t>Objectifs</w:t>
      </w:r>
      <w:r w:rsidRPr="00E77183">
        <w:rPr>
          <w:b/>
          <w:i/>
        </w:rPr>
        <w:t> :</w:t>
      </w:r>
    </w:p>
    <w:p w:rsidR="00E77183" w:rsidRDefault="006D79F4">
      <w:r>
        <w:t>Définit les modalités d’un transfert en urgence d’un patient avec ses PSL vers un autre ES</w:t>
      </w:r>
    </w:p>
    <w:p w:rsidR="0061450D" w:rsidRDefault="0061450D"/>
    <w:p w:rsidR="0061450D" w:rsidRDefault="0061450D"/>
    <w:p w:rsidR="00E77183" w:rsidRDefault="00E77183">
      <w:r w:rsidRPr="00E77183">
        <w:rPr>
          <w:b/>
          <w:i/>
          <w:u w:val="single"/>
        </w:rPr>
        <w:t>Textes de références</w:t>
      </w:r>
      <w:r>
        <w:t> :</w:t>
      </w:r>
    </w:p>
    <w:p w:rsidR="004304A4" w:rsidRPr="00BF67B0" w:rsidRDefault="004304A4" w:rsidP="004304A4">
      <w:pPr>
        <w:pStyle w:val="Paragraphedeliste"/>
        <w:numPr>
          <w:ilvl w:val="0"/>
          <w:numId w:val="18"/>
        </w:numPr>
        <w:ind w:left="851" w:hanging="425"/>
      </w:pPr>
      <w:r w:rsidRPr="00AE40CD">
        <w:rPr>
          <w:rFonts w:eastAsia="Times New Roman"/>
          <w:lang w:eastAsia="fr-FR"/>
        </w:rPr>
        <w:t>Décret n° 2014-1042 du 12 septembre 2014 relatif au sang humain</w:t>
      </w:r>
      <w:r>
        <w:rPr>
          <w:rFonts w:eastAsia="Times New Roman"/>
          <w:lang w:eastAsia="fr-FR"/>
        </w:rPr>
        <w:t> ;</w:t>
      </w:r>
    </w:p>
    <w:p w:rsidR="004304A4" w:rsidRPr="006A3A7A" w:rsidRDefault="004304A4" w:rsidP="004304A4">
      <w:pPr>
        <w:pStyle w:val="Paragraphedeliste"/>
        <w:numPr>
          <w:ilvl w:val="0"/>
          <w:numId w:val="18"/>
        </w:numPr>
        <w:spacing w:after="0"/>
        <w:ind w:left="851"/>
      </w:pPr>
      <w:r>
        <w:t>D</w:t>
      </w:r>
      <w:r w:rsidRPr="006A3A7A">
        <w:t>écisio</w:t>
      </w:r>
      <w:r>
        <w:t>n du 1</w:t>
      </w:r>
      <w:r w:rsidRPr="006A3A7A">
        <w:t xml:space="preserve">0/03/2020 définissant les </w:t>
      </w:r>
      <w:r>
        <w:t xml:space="preserve">principes de </w:t>
      </w:r>
      <w:r w:rsidRPr="006A3A7A">
        <w:t>bonnes pratiques transfusionnelles</w:t>
      </w:r>
      <w:r>
        <w:t xml:space="preserve"> prévus à l’article L.1222-12 du code de sante publiqu</w:t>
      </w:r>
      <w:r>
        <w:t>e.</w:t>
      </w:r>
    </w:p>
    <w:p w:rsidR="00470594" w:rsidRDefault="00470594"/>
    <w:p w:rsidR="00470594" w:rsidRDefault="00470594"/>
    <w:p w:rsidR="00470594" w:rsidRDefault="00470594"/>
    <w:p w:rsidR="00470594" w:rsidRDefault="00470594"/>
    <w:p w:rsidR="00470594" w:rsidRDefault="00470594"/>
    <w:p w:rsidR="00470594" w:rsidRDefault="00470594">
      <w:bookmarkStart w:id="0" w:name="_GoBack"/>
      <w:bookmarkEnd w:id="0"/>
    </w:p>
    <w:p w:rsidR="00470594" w:rsidRDefault="00470594"/>
    <w:p w:rsidR="00470594" w:rsidRDefault="00470594"/>
    <w:p w:rsidR="00470594" w:rsidRDefault="00470594"/>
    <w:p w:rsidR="00470594" w:rsidRDefault="00470594"/>
    <w:tbl>
      <w:tblPr>
        <w:tblStyle w:val="TableauGrille4-Accentuation1"/>
        <w:tblpPr w:leftFromText="141" w:rightFromText="141" w:vertAnchor="text" w:horzAnchor="margin" w:tblpY="285"/>
        <w:tblW w:w="0" w:type="auto"/>
        <w:tblLook w:val="04A0" w:firstRow="1" w:lastRow="0" w:firstColumn="1" w:lastColumn="0" w:noHBand="0" w:noVBand="1"/>
      </w:tblPr>
      <w:tblGrid>
        <w:gridCol w:w="2972"/>
        <w:gridCol w:w="3119"/>
        <w:gridCol w:w="2971"/>
      </w:tblGrid>
      <w:tr w:rsidR="00E2356D" w:rsidTr="00554F1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:rsidR="00E2356D" w:rsidRDefault="00E2356D" w:rsidP="00043281">
            <w:r>
              <w:t>Rédacteur</w:t>
            </w:r>
          </w:p>
        </w:tc>
        <w:tc>
          <w:tcPr>
            <w:tcW w:w="3119" w:type="dxa"/>
          </w:tcPr>
          <w:p w:rsidR="00E2356D" w:rsidRDefault="00E2356D" w:rsidP="0004328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Vérificateur</w:t>
            </w:r>
          </w:p>
        </w:tc>
        <w:tc>
          <w:tcPr>
            <w:tcW w:w="2971" w:type="dxa"/>
          </w:tcPr>
          <w:p w:rsidR="00E2356D" w:rsidRDefault="00E2356D" w:rsidP="0004328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Approbateur</w:t>
            </w:r>
          </w:p>
        </w:tc>
      </w:tr>
      <w:tr w:rsidR="00E2356D" w:rsidTr="00554F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:rsidR="00554F14" w:rsidRPr="00F72E1E" w:rsidRDefault="00554F14" w:rsidP="00554F14">
            <w:pPr>
              <w:rPr>
                <w:b w:val="0"/>
                <w:sz w:val="18"/>
              </w:rPr>
            </w:pPr>
            <w:proofErr w:type="spellStart"/>
            <w:proofErr w:type="gramStart"/>
            <w:r w:rsidRPr="00F72E1E">
              <w:rPr>
                <w:sz w:val="18"/>
              </w:rPr>
              <w:t>Dr.SAPEY</w:t>
            </w:r>
            <w:proofErr w:type="spellEnd"/>
            <w:proofErr w:type="gramEnd"/>
          </w:p>
          <w:p w:rsidR="00554F14" w:rsidRPr="00554F14" w:rsidRDefault="00554F14" w:rsidP="00554F14">
            <w:pPr>
              <w:rPr>
                <w:b w:val="0"/>
                <w:sz w:val="16"/>
              </w:rPr>
            </w:pPr>
            <w:r w:rsidRPr="00554F14">
              <w:rPr>
                <w:b w:val="0"/>
                <w:sz w:val="16"/>
              </w:rPr>
              <w:t>Coordonnateur Régional d’Hémovigilance et de Sécurité Transfusionnelle</w:t>
            </w:r>
          </w:p>
          <w:p w:rsidR="00E2356D" w:rsidRPr="00E77183" w:rsidRDefault="00E2356D" w:rsidP="00043281">
            <w:pPr>
              <w:rPr>
                <w:b w:val="0"/>
                <w:sz w:val="18"/>
              </w:rPr>
            </w:pPr>
          </w:p>
        </w:tc>
        <w:tc>
          <w:tcPr>
            <w:tcW w:w="3119" w:type="dxa"/>
          </w:tcPr>
          <w:p w:rsidR="00E2356D" w:rsidRPr="00F72E1E" w:rsidRDefault="00E2356D" w:rsidP="000432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</w:rPr>
            </w:pPr>
            <w:proofErr w:type="spellStart"/>
            <w:proofErr w:type="gramStart"/>
            <w:r w:rsidRPr="00F72E1E">
              <w:rPr>
                <w:b/>
                <w:sz w:val="18"/>
              </w:rPr>
              <w:t>Dr.SAPEY</w:t>
            </w:r>
            <w:proofErr w:type="spellEnd"/>
            <w:proofErr w:type="gramEnd"/>
          </w:p>
          <w:p w:rsidR="00E2356D" w:rsidRDefault="00E2356D" w:rsidP="000432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  <w:r w:rsidRPr="00E77183">
              <w:rPr>
                <w:sz w:val="16"/>
              </w:rPr>
              <w:t>Coordonnateur Régional d’Hémovigilance et de Sécurité Transfusionnelle</w:t>
            </w:r>
          </w:p>
          <w:p w:rsidR="00554F14" w:rsidRPr="00554F14" w:rsidRDefault="00554F14" w:rsidP="00554F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</w:rPr>
            </w:pPr>
            <w:r w:rsidRPr="00554F14">
              <w:rPr>
                <w:b/>
                <w:sz w:val="18"/>
              </w:rPr>
              <w:t>Mme Marjorie BLIN</w:t>
            </w:r>
          </w:p>
          <w:p w:rsidR="00554F14" w:rsidRPr="00F72E1E" w:rsidRDefault="00554F14" w:rsidP="00554F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</w:rPr>
            </w:pPr>
            <w:r>
              <w:rPr>
                <w:sz w:val="16"/>
              </w:rPr>
              <w:t>Assistante</w:t>
            </w:r>
          </w:p>
        </w:tc>
        <w:tc>
          <w:tcPr>
            <w:tcW w:w="2971" w:type="dxa"/>
          </w:tcPr>
          <w:p w:rsidR="00E2356D" w:rsidRPr="00F72E1E" w:rsidRDefault="00E2356D" w:rsidP="000432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</w:rPr>
            </w:pPr>
            <w:proofErr w:type="spellStart"/>
            <w:proofErr w:type="gramStart"/>
            <w:r w:rsidRPr="00F72E1E">
              <w:rPr>
                <w:b/>
                <w:sz w:val="18"/>
              </w:rPr>
              <w:t>Dr.SAPEY</w:t>
            </w:r>
            <w:proofErr w:type="spellEnd"/>
            <w:proofErr w:type="gramEnd"/>
          </w:p>
          <w:p w:rsidR="00E2356D" w:rsidRPr="00E77183" w:rsidRDefault="00E2356D" w:rsidP="000432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r w:rsidRPr="00E77183">
              <w:rPr>
                <w:sz w:val="16"/>
              </w:rPr>
              <w:t>Coordonnateur Régional d’Hémovigilance et de Sécurité Transfusionnelle</w:t>
            </w:r>
          </w:p>
        </w:tc>
      </w:tr>
    </w:tbl>
    <w:p w:rsidR="00470594" w:rsidRDefault="00470594"/>
    <w:p w:rsidR="00470594" w:rsidRDefault="00470594"/>
    <w:p w:rsidR="006D79F4" w:rsidRPr="006D79F4" w:rsidRDefault="006D79F4" w:rsidP="006D79F4">
      <w:pPr>
        <w:contextualSpacing/>
        <w:rPr>
          <w:rFonts w:cstheme="minorHAnsi"/>
          <w:b/>
          <w:i/>
          <w:sz w:val="24"/>
          <w:u w:val="single"/>
        </w:rPr>
      </w:pPr>
      <w:r w:rsidRPr="006D79F4">
        <w:rPr>
          <w:rFonts w:cstheme="minorHAnsi"/>
          <w:b/>
          <w:i/>
          <w:sz w:val="24"/>
          <w:u w:val="single"/>
        </w:rPr>
        <w:lastRenderedPageBreak/>
        <w:t>Déroulement</w:t>
      </w:r>
    </w:p>
    <w:p w:rsidR="006D79F4" w:rsidRDefault="006D79F4" w:rsidP="006D79F4">
      <w:pPr>
        <w:spacing w:after="200" w:line="276" w:lineRule="auto"/>
        <w:ind w:left="1068"/>
        <w:contextualSpacing/>
        <w:rPr>
          <w:rFonts w:cstheme="minorHAnsi"/>
          <w:color w:val="0070C0"/>
          <w:szCs w:val="24"/>
          <w:u w:val="single"/>
        </w:rPr>
      </w:pPr>
    </w:p>
    <w:p w:rsidR="006D79F4" w:rsidRPr="006D79F4" w:rsidRDefault="006D79F4" w:rsidP="006D79F4">
      <w:pPr>
        <w:pStyle w:val="Paragraphedeliste"/>
        <w:numPr>
          <w:ilvl w:val="0"/>
          <w:numId w:val="14"/>
        </w:numPr>
        <w:spacing w:after="200" w:line="276" w:lineRule="auto"/>
        <w:ind w:left="709"/>
        <w:rPr>
          <w:rFonts w:cstheme="minorHAnsi"/>
          <w:color w:val="0070C0"/>
          <w:szCs w:val="24"/>
          <w:u w:val="single"/>
        </w:rPr>
      </w:pPr>
      <w:r w:rsidRPr="006D79F4">
        <w:rPr>
          <w:rFonts w:cstheme="minorHAnsi"/>
          <w:color w:val="0070C0"/>
          <w:szCs w:val="24"/>
          <w:u w:val="single"/>
        </w:rPr>
        <w:t>1</w:t>
      </w:r>
      <w:r w:rsidRPr="006D79F4">
        <w:rPr>
          <w:rFonts w:cstheme="minorHAnsi"/>
          <w:color w:val="0070C0"/>
          <w:szCs w:val="24"/>
          <w:u w:val="single"/>
          <w:vertAlign w:val="superscript"/>
        </w:rPr>
        <w:t>er</w:t>
      </w:r>
      <w:r w:rsidRPr="006D79F4">
        <w:rPr>
          <w:rFonts w:cstheme="minorHAnsi"/>
          <w:color w:val="0070C0"/>
          <w:szCs w:val="24"/>
          <w:u w:val="single"/>
        </w:rPr>
        <w:t xml:space="preserve"> Cas : le patient est transféré alors que la transfusion d’un PSL est en cours :</w:t>
      </w:r>
    </w:p>
    <w:p w:rsidR="006D79F4" w:rsidRPr="006D79F4" w:rsidRDefault="006D79F4" w:rsidP="006D79F4">
      <w:pPr>
        <w:pStyle w:val="Paragraphedeliste"/>
        <w:numPr>
          <w:ilvl w:val="0"/>
          <w:numId w:val="15"/>
        </w:numPr>
        <w:spacing w:after="200" w:line="276" w:lineRule="auto"/>
        <w:ind w:left="1276"/>
        <w:rPr>
          <w:rFonts w:cstheme="minorHAnsi"/>
          <w:szCs w:val="24"/>
        </w:rPr>
      </w:pPr>
      <w:r w:rsidRPr="006D79F4">
        <w:rPr>
          <w:rFonts w:cstheme="minorHAnsi"/>
          <w:szCs w:val="24"/>
        </w:rPr>
        <w:t>Le PSL en cours est transféré avec le patient, donner la fiche de délivrance nominative en notant (donnée pour transfert SAMU « 28 » par exemple) mais conserver une photocopie pour le dossier patient et une pour le dépôt (si besoin). Voir Modalités avec EFS pour la traçabilité.</w:t>
      </w:r>
    </w:p>
    <w:p w:rsidR="006D79F4" w:rsidRPr="006D79F4" w:rsidRDefault="006D79F4" w:rsidP="006D79F4">
      <w:pPr>
        <w:pStyle w:val="Paragraphedeliste"/>
        <w:numPr>
          <w:ilvl w:val="0"/>
          <w:numId w:val="15"/>
        </w:numPr>
        <w:spacing w:after="200" w:line="276" w:lineRule="auto"/>
        <w:ind w:left="1276"/>
        <w:rPr>
          <w:rFonts w:cstheme="minorHAnsi"/>
          <w:szCs w:val="24"/>
        </w:rPr>
      </w:pPr>
      <w:r w:rsidRPr="006D79F4">
        <w:rPr>
          <w:rFonts w:cstheme="minorHAnsi"/>
          <w:szCs w:val="24"/>
        </w:rPr>
        <w:t>S’il reste des PSL au nom du patient dans le dépôt, ces PSL seront retournés à l’EFS.</w:t>
      </w:r>
    </w:p>
    <w:p w:rsidR="006D79F4" w:rsidRPr="006D79F4" w:rsidRDefault="006D79F4" w:rsidP="006D79F4">
      <w:pPr>
        <w:spacing w:after="200" w:line="276" w:lineRule="auto"/>
        <w:ind w:left="1068"/>
        <w:contextualSpacing/>
        <w:rPr>
          <w:rFonts w:cstheme="minorHAnsi"/>
          <w:szCs w:val="24"/>
        </w:rPr>
      </w:pPr>
    </w:p>
    <w:p w:rsidR="006D79F4" w:rsidRPr="006D79F4" w:rsidRDefault="006D79F4" w:rsidP="006D79F4">
      <w:pPr>
        <w:pStyle w:val="Paragraphedeliste"/>
        <w:numPr>
          <w:ilvl w:val="0"/>
          <w:numId w:val="14"/>
        </w:numPr>
        <w:spacing w:after="200" w:line="276" w:lineRule="auto"/>
        <w:ind w:left="709"/>
        <w:rPr>
          <w:rFonts w:cstheme="minorHAnsi"/>
          <w:color w:val="0070C0"/>
          <w:szCs w:val="24"/>
          <w:u w:val="single"/>
        </w:rPr>
      </w:pPr>
      <w:r w:rsidRPr="006D79F4">
        <w:rPr>
          <w:rFonts w:cstheme="minorHAnsi"/>
          <w:color w:val="0070C0"/>
          <w:szCs w:val="24"/>
          <w:u w:val="single"/>
        </w:rPr>
        <w:t>2</w:t>
      </w:r>
      <w:r w:rsidRPr="006D79F4">
        <w:rPr>
          <w:rFonts w:cstheme="minorHAnsi"/>
          <w:color w:val="0070C0"/>
          <w:szCs w:val="24"/>
          <w:u w:val="single"/>
          <w:vertAlign w:val="superscript"/>
        </w:rPr>
        <w:t>ème</w:t>
      </w:r>
      <w:r w:rsidRPr="006D79F4">
        <w:rPr>
          <w:rFonts w:cstheme="minorHAnsi"/>
          <w:color w:val="0070C0"/>
          <w:szCs w:val="24"/>
          <w:u w:val="single"/>
        </w:rPr>
        <w:t xml:space="preserve"> cas : Le patient est transféré avant administration de PSL conservés nominativement dans le dépôt :</w:t>
      </w:r>
    </w:p>
    <w:p w:rsidR="006D79F4" w:rsidRPr="006D79F4" w:rsidRDefault="006D79F4" w:rsidP="006D79F4">
      <w:pPr>
        <w:pStyle w:val="Paragraphedeliste"/>
        <w:numPr>
          <w:ilvl w:val="0"/>
          <w:numId w:val="16"/>
        </w:numPr>
        <w:spacing w:after="200" w:line="276" w:lineRule="auto"/>
        <w:ind w:left="1276"/>
        <w:rPr>
          <w:rFonts w:cstheme="minorHAnsi"/>
          <w:szCs w:val="24"/>
        </w:rPr>
      </w:pPr>
      <w:r w:rsidRPr="006D79F4">
        <w:rPr>
          <w:rFonts w:cstheme="minorHAnsi"/>
          <w:szCs w:val="24"/>
        </w:rPr>
        <w:t>Ne pas transférer les PSL avec le patient</w:t>
      </w:r>
    </w:p>
    <w:p w:rsidR="006D79F4" w:rsidRPr="006D79F4" w:rsidRDefault="006D79F4" w:rsidP="006D79F4">
      <w:pPr>
        <w:pStyle w:val="Paragraphedeliste"/>
        <w:numPr>
          <w:ilvl w:val="0"/>
          <w:numId w:val="16"/>
        </w:numPr>
        <w:spacing w:after="200" w:line="276" w:lineRule="auto"/>
        <w:ind w:left="1276"/>
        <w:rPr>
          <w:rFonts w:cstheme="minorHAnsi"/>
          <w:szCs w:val="24"/>
        </w:rPr>
      </w:pPr>
      <w:r w:rsidRPr="006D79F4">
        <w:rPr>
          <w:rFonts w:cstheme="minorHAnsi"/>
          <w:szCs w:val="24"/>
        </w:rPr>
        <w:t xml:space="preserve">Préparer un dossier pour l’établissement receveur du patient avec copie de la RAI du jour et les 2 déterminations </w:t>
      </w:r>
      <w:proofErr w:type="spellStart"/>
      <w:r w:rsidRPr="006D79F4">
        <w:rPr>
          <w:rFonts w:cstheme="minorHAnsi"/>
          <w:szCs w:val="24"/>
        </w:rPr>
        <w:t>phénotypage</w:t>
      </w:r>
      <w:proofErr w:type="spellEnd"/>
      <w:r w:rsidRPr="006D79F4">
        <w:rPr>
          <w:rFonts w:cstheme="minorHAnsi"/>
          <w:szCs w:val="24"/>
        </w:rPr>
        <w:t xml:space="preserve"> érythrocytaire ABO RHKEL1. L’établissement receveur fera sa prescription de PSL. </w:t>
      </w:r>
    </w:p>
    <w:p w:rsidR="006D79F4" w:rsidRPr="006D79F4" w:rsidRDefault="006D79F4" w:rsidP="006D79F4">
      <w:pPr>
        <w:pStyle w:val="Paragraphedeliste"/>
        <w:numPr>
          <w:ilvl w:val="0"/>
          <w:numId w:val="16"/>
        </w:numPr>
        <w:spacing w:after="200" w:line="276" w:lineRule="auto"/>
        <w:ind w:left="1276"/>
        <w:rPr>
          <w:rFonts w:cstheme="minorHAnsi"/>
          <w:szCs w:val="24"/>
        </w:rPr>
      </w:pPr>
      <w:r w:rsidRPr="006D79F4">
        <w:rPr>
          <w:rFonts w:cstheme="minorHAnsi"/>
          <w:szCs w:val="24"/>
        </w:rPr>
        <w:t>Préparer le retour des PSL à l’EFS.</w:t>
      </w:r>
    </w:p>
    <w:p w:rsidR="006D79F4" w:rsidRPr="006D79F4" w:rsidRDefault="006D79F4" w:rsidP="006D79F4">
      <w:pPr>
        <w:spacing w:after="200" w:line="276" w:lineRule="auto"/>
        <w:ind w:left="1788"/>
        <w:contextualSpacing/>
        <w:rPr>
          <w:rFonts w:cstheme="minorHAnsi"/>
          <w:szCs w:val="24"/>
        </w:rPr>
      </w:pPr>
    </w:p>
    <w:p w:rsidR="006D79F4" w:rsidRPr="006D79F4" w:rsidRDefault="006D79F4" w:rsidP="006D79F4">
      <w:pPr>
        <w:pStyle w:val="Paragraphedeliste"/>
        <w:numPr>
          <w:ilvl w:val="0"/>
          <w:numId w:val="14"/>
        </w:numPr>
        <w:spacing w:after="200" w:line="276" w:lineRule="auto"/>
        <w:ind w:left="709"/>
        <w:rPr>
          <w:rFonts w:cstheme="minorHAnsi"/>
          <w:color w:val="0070C0"/>
          <w:szCs w:val="24"/>
          <w:u w:val="single"/>
        </w:rPr>
      </w:pPr>
      <w:r w:rsidRPr="006D79F4">
        <w:rPr>
          <w:rFonts w:cstheme="minorHAnsi"/>
          <w:color w:val="0070C0"/>
          <w:szCs w:val="24"/>
          <w:u w:val="single"/>
        </w:rPr>
        <w:t>3</w:t>
      </w:r>
      <w:r w:rsidRPr="006D79F4">
        <w:rPr>
          <w:rFonts w:cstheme="minorHAnsi"/>
          <w:color w:val="0070C0"/>
          <w:szCs w:val="24"/>
          <w:u w:val="single"/>
          <w:vertAlign w:val="superscript"/>
        </w:rPr>
        <w:t>ème</w:t>
      </w:r>
      <w:r w:rsidRPr="006D79F4">
        <w:rPr>
          <w:rFonts w:cstheme="minorHAnsi"/>
          <w:color w:val="0070C0"/>
          <w:szCs w:val="24"/>
          <w:u w:val="single"/>
        </w:rPr>
        <w:t xml:space="preserve"> cas : Transfert du patient avec les PSL non transfusés :</w:t>
      </w:r>
    </w:p>
    <w:p w:rsidR="006D79F4" w:rsidRPr="006D79F4" w:rsidRDefault="006D79F4" w:rsidP="006D79F4">
      <w:pPr>
        <w:pStyle w:val="Paragraphedeliste"/>
        <w:numPr>
          <w:ilvl w:val="0"/>
          <w:numId w:val="17"/>
        </w:numPr>
        <w:spacing w:after="200" w:line="276" w:lineRule="auto"/>
        <w:ind w:left="1276"/>
        <w:rPr>
          <w:rFonts w:cstheme="minorHAnsi"/>
          <w:szCs w:val="24"/>
        </w:rPr>
      </w:pPr>
      <w:r w:rsidRPr="006D79F4">
        <w:rPr>
          <w:rFonts w:cstheme="minorHAnsi"/>
          <w:szCs w:val="24"/>
        </w:rPr>
        <w:t>Il doit s’agir d’une situation exceptionnelle et dans un cadre d’extrême urgence.</w:t>
      </w:r>
    </w:p>
    <w:p w:rsidR="006D79F4" w:rsidRPr="006D79F4" w:rsidRDefault="006D79F4" w:rsidP="006D79F4">
      <w:pPr>
        <w:pStyle w:val="Paragraphedeliste"/>
        <w:numPr>
          <w:ilvl w:val="0"/>
          <w:numId w:val="17"/>
        </w:numPr>
        <w:spacing w:after="200" w:line="276" w:lineRule="auto"/>
        <w:ind w:left="1276"/>
        <w:rPr>
          <w:rFonts w:cstheme="minorHAnsi"/>
          <w:szCs w:val="24"/>
        </w:rPr>
      </w:pPr>
      <w:r w:rsidRPr="006D79F4">
        <w:rPr>
          <w:rFonts w:cstheme="minorHAnsi"/>
          <w:szCs w:val="24"/>
        </w:rPr>
        <w:t>Transport des PSL est effectué dans un container qualifié adapté.</w:t>
      </w:r>
    </w:p>
    <w:p w:rsidR="006D79F4" w:rsidRPr="006D79F4" w:rsidRDefault="006D79F4" w:rsidP="006D79F4">
      <w:pPr>
        <w:pStyle w:val="Paragraphedeliste"/>
        <w:numPr>
          <w:ilvl w:val="0"/>
          <w:numId w:val="17"/>
        </w:numPr>
        <w:spacing w:after="200" w:line="276" w:lineRule="auto"/>
        <w:ind w:left="1276"/>
        <w:rPr>
          <w:rFonts w:cstheme="minorHAnsi"/>
          <w:szCs w:val="24"/>
        </w:rPr>
      </w:pPr>
      <w:r w:rsidRPr="006D79F4">
        <w:rPr>
          <w:rFonts w:cstheme="minorHAnsi"/>
          <w:szCs w:val="24"/>
        </w:rPr>
        <w:t>L’IDE du dépôt doit en informer le responsable du dépôt.</w:t>
      </w:r>
    </w:p>
    <w:p w:rsidR="006D79F4" w:rsidRPr="006D79F4" w:rsidRDefault="006D79F4" w:rsidP="006D79F4">
      <w:pPr>
        <w:pStyle w:val="Paragraphedeliste"/>
        <w:numPr>
          <w:ilvl w:val="0"/>
          <w:numId w:val="17"/>
        </w:numPr>
        <w:spacing w:after="200" w:line="276" w:lineRule="auto"/>
        <w:ind w:left="1276"/>
        <w:rPr>
          <w:rFonts w:cstheme="minorHAnsi"/>
          <w:szCs w:val="24"/>
        </w:rPr>
      </w:pPr>
      <w:r w:rsidRPr="006D79F4">
        <w:rPr>
          <w:rFonts w:cstheme="minorHAnsi"/>
          <w:szCs w:val="24"/>
        </w:rPr>
        <w:t>En Informer l’EFS</w:t>
      </w:r>
    </w:p>
    <w:p w:rsidR="006D79F4" w:rsidRPr="006D79F4" w:rsidRDefault="006D79F4" w:rsidP="006D79F4">
      <w:pPr>
        <w:pStyle w:val="Paragraphedeliste"/>
        <w:numPr>
          <w:ilvl w:val="0"/>
          <w:numId w:val="17"/>
        </w:numPr>
        <w:spacing w:after="0" w:line="240" w:lineRule="auto"/>
        <w:ind w:left="1276"/>
        <w:rPr>
          <w:rFonts w:cstheme="minorHAnsi"/>
          <w:sz w:val="20"/>
        </w:rPr>
      </w:pPr>
      <w:r w:rsidRPr="006D79F4">
        <w:rPr>
          <w:rFonts w:cstheme="minorHAnsi"/>
          <w:szCs w:val="24"/>
        </w:rPr>
        <w:t>Donner la fiche de délivrance nominative en notant (donnée pour transfert SAMU « 28 » par exemple) mais conserver une photocopie pour le dossier patient et une pour le dépôt (si besoin). Voir Modalités avec EFS pour la traçabilité.</w:t>
      </w:r>
    </w:p>
    <w:p w:rsidR="006D79F4" w:rsidRPr="006D79F4" w:rsidRDefault="006D79F4" w:rsidP="006D79F4">
      <w:pPr>
        <w:ind w:left="2835"/>
        <w:rPr>
          <w:rFonts w:ascii="Calibri" w:hAnsi="Calibri"/>
        </w:rPr>
      </w:pPr>
    </w:p>
    <w:p w:rsidR="006D79F4" w:rsidRDefault="006D79F4"/>
    <w:sectPr w:rsidR="006D79F4" w:rsidSect="00E01806">
      <w:headerReference w:type="default" r:id="rId7"/>
      <w:footerReference w:type="default" r:id="rId8"/>
      <w:pgSz w:w="11906" w:h="16838"/>
      <w:pgMar w:top="184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4185" w:rsidRDefault="00A84185" w:rsidP="00CE47D1">
      <w:pPr>
        <w:spacing w:after="0" w:line="240" w:lineRule="auto"/>
      </w:pPr>
      <w:r>
        <w:separator/>
      </w:r>
    </w:p>
  </w:endnote>
  <w:endnote w:type="continuationSeparator" w:id="0">
    <w:p w:rsidR="00A84185" w:rsidRDefault="00A84185" w:rsidP="00CE47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7183" w:rsidRPr="00F3500B" w:rsidRDefault="002A07E7" w:rsidP="00554F14">
    <w:pPr>
      <w:pStyle w:val="Pieddepage"/>
      <w:rPr>
        <w:rFonts w:ascii="Arial" w:hAnsi="Arial" w:cs="Arial"/>
        <w:color w:val="000080"/>
        <w:sz w:val="14"/>
        <w:szCs w:val="16"/>
      </w:rPr>
    </w:pPr>
    <w:r>
      <w:rPr>
        <w:rFonts w:ascii="Arial" w:hAnsi="Arial" w:cs="Arial"/>
        <w:i/>
        <w:color w:val="000080"/>
        <w:sz w:val="12"/>
        <w:szCs w:val="16"/>
      </w:rPr>
      <w:t>HV</w:t>
    </w:r>
    <w:r w:rsidR="00F3500B" w:rsidRPr="00F3500B">
      <w:rPr>
        <w:rFonts w:ascii="Arial" w:hAnsi="Arial" w:cs="Arial"/>
        <w:i/>
        <w:color w:val="000080"/>
        <w:sz w:val="12"/>
        <w:szCs w:val="16"/>
      </w:rPr>
      <w:t>CVL/</w:t>
    </w:r>
    <w:r w:rsidR="006D79F4">
      <w:rPr>
        <w:rFonts w:ascii="Arial" w:hAnsi="Arial" w:cs="Arial"/>
        <w:i/>
        <w:color w:val="000080"/>
        <w:sz w:val="12"/>
        <w:szCs w:val="16"/>
      </w:rPr>
      <w:t>ES/TRANSFUSION/TRANSFERT-URGENCE-PATIENT-PSL</w:t>
    </w:r>
  </w:p>
  <w:p w:rsidR="00E77183" w:rsidRDefault="00E77183" w:rsidP="00E77183">
    <w:pPr>
      <w:pStyle w:val="Pieddepage"/>
      <w:ind w:firstLine="70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4185" w:rsidRDefault="00A84185" w:rsidP="00CE47D1">
      <w:pPr>
        <w:spacing w:after="0" w:line="240" w:lineRule="auto"/>
      </w:pPr>
      <w:r>
        <w:separator/>
      </w:r>
    </w:p>
  </w:footnote>
  <w:footnote w:type="continuationSeparator" w:id="0">
    <w:p w:rsidR="00A84185" w:rsidRDefault="00A84185" w:rsidP="00CE47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47D1" w:rsidRDefault="00273F0A" w:rsidP="00273F0A">
    <w:pPr>
      <w:pStyle w:val="En-tte"/>
      <w:jc w:val="right"/>
      <w:rPr>
        <w:sz w:val="24"/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0">
                <w14:schemeClr w14:val="accent5">
                  <w14:lumMod w14:val="50000"/>
                </w14:schemeClr>
              </w14:gs>
              <w14:gs w14:pos="50000">
                <w14:schemeClr w14:val="accent5"/>
              </w14:gs>
              <w14:gs w14:pos="100000">
                <w14:schemeClr w14:val="accent5">
                  <w14:lumMod w14:val="60000"/>
                  <w14:lumOff w14:val="40000"/>
                </w14:schemeClr>
              </w14:gs>
            </w14:gsLst>
            <w14:lin w14:ang="5400000" w14:scaled="0"/>
          </w14:gradFill>
        </w14:textFill>
      </w:rPr>
    </w:pPr>
    <w:r w:rsidRPr="00273F0A">
      <w:rPr>
        <w:noProof/>
        <w:sz w:val="14"/>
        <w:lang w:eastAsia="fr-FR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178217</wp:posOffset>
              </wp:positionV>
              <wp:extent cx="5732060" cy="6994"/>
              <wp:effectExtent l="0" t="0" r="21590" b="31115"/>
              <wp:wrapNone/>
              <wp:docPr id="1" name="Connecteur droit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32060" cy="6994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5"/>
                      </a:lnRef>
                      <a:fillRef idx="0">
                        <a:schemeClr val="accent5"/>
                      </a:fillRef>
                      <a:effectRef idx="0">
                        <a:schemeClr val="accent5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DF2C39F" id="Connecteur droit 1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00.15pt,14.05pt" to="851.5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" strokecolor="#4472c4 [3208]" strokeweight=".5pt">
              <v:stroke joinstyle="miter"/>
              <w10:wrap anchorx="margin"/>
            </v:line>
          </w:pict>
        </mc:Fallback>
      </mc:AlternateContent>
    </w:r>
    <w:r w:rsidRPr="00273F0A">
      <w:rPr>
        <w:noProof/>
        <w:sz w:val="14"/>
        <w:lang w:eastAsia="fr-F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150495</wp:posOffset>
          </wp:positionH>
          <wp:positionV relativeFrom="paragraph">
            <wp:posOffset>232410</wp:posOffset>
          </wp:positionV>
          <wp:extent cx="395785" cy="361154"/>
          <wp:effectExtent l="0" t="0" r="4445" b="1270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HEMOVIGILANC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5785" cy="3611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73F0A">
      <w:rPr>
        <w:rFonts w:ascii="Times New Roman" w:hAnsi="Times New Roman" w:cs="Times New Roman"/>
        <w:noProof/>
        <w:sz w:val="16"/>
        <w:szCs w:val="24"/>
        <w:lang w:eastAsia="fr-FR"/>
      </w:rPr>
      <w:drawing>
        <wp:anchor distT="0" distB="0" distL="114300" distR="114300" simplePos="0" relativeHeight="251659264" behindDoc="1" locked="0" layoutInCell="1" allowOverlap="0" wp14:anchorId="5258606D" wp14:editId="23782684">
          <wp:simplePos x="0" y="0"/>
          <wp:positionH relativeFrom="margin">
            <wp:align>left</wp:align>
          </wp:positionH>
          <wp:positionV relativeFrom="line">
            <wp:posOffset>-163034</wp:posOffset>
          </wp:positionV>
          <wp:extent cx="808028" cy="300251"/>
          <wp:effectExtent l="0" t="0" r="0" b="5080"/>
          <wp:wrapNone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8028" cy="30025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73F0A">
      <w:rPr>
        <w:sz w:val="24"/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0">
                <w14:schemeClr w14:val="accent5">
                  <w14:lumMod w14:val="50000"/>
                </w14:schemeClr>
              </w14:gs>
              <w14:gs w14:pos="50000">
                <w14:schemeClr w14:val="accent5"/>
              </w14:gs>
              <w14:gs w14:pos="100000">
                <w14:schemeClr w14:val="accent5">
                  <w14:lumMod w14:val="60000"/>
                  <w14:lumOff w14:val="40000"/>
                </w14:schemeClr>
              </w14:gs>
            </w14:gsLst>
            <w14:lin w14:ang="5400000" w14:scaled="0"/>
          </w14:gradFill>
        </w14:textFill>
      </w:rPr>
      <w:t>CELLULE REGIONALE D’HEMOVIGILANCE</w:t>
    </w:r>
  </w:p>
  <w:p w:rsidR="00F3500B" w:rsidRPr="00273F0A" w:rsidRDefault="00F3500B" w:rsidP="00273F0A">
    <w:pPr>
      <w:pStyle w:val="En-tte"/>
      <w:jc w:val="right"/>
      <w:rPr>
        <w:sz w:val="24"/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0">
                <w14:schemeClr w14:val="accent5">
                  <w14:lumMod w14:val="50000"/>
                </w14:schemeClr>
              </w14:gs>
              <w14:gs w14:pos="50000">
                <w14:schemeClr w14:val="accent5"/>
              </w14:gs>
              <w14:gs w14:pos="100000">
                <w14:schemeClr w14:val="accent5">
                  <w14:lumMod w14:val="60000"/>
                  <w14:lumOff w14:val="40000"/>
                </w14:schemeClr>
              </w14:gs>
            </w14:gsLst>
            <w14:lin w14:ang="5400000" w14:scaled="0"/>
          </w14:gradFill>
        </w14:textFill>
      </w:rPr>
    </w:pPr>
    <w:r>
      <w:rPr>
        <w:sz w:val="24"/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0">
                <w14:schemeClr w14:val="accent5">
                  <w14:lumMod w14:val="50000"/>
                </w14:schemeClr>
              </w14:gs>
              <w14:gs w14:pos="50000">
                <w14:schemeClr w14:val="accent5"/>
              </w14:gs>
              <w14:gs w14:pos="100000">
                <w14:schemeClr w14:val="accent5">
                  <w14:lumMod w14:val="60000"/>
                  <w14:lumOff w14:val="40000"/>
                </w14:schemeClr>
              </w14:gs>
            </w14:gsLst>
            <w14:lin w14:ang="5400000" w14:scaled="0"/>
          </w14:gradFill>
        </w14:textFill>
      </w:rPr>
      <w:t>Centre-Val de Loire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70344"/>
    <w:multiLevelType w:val="hybridMultilevel"/>
    <w:tmpl w:val="1D105280"/>
    <w:lvl w:ilvl="0" w:tplc="3B2ECC3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EE1CF6"/>
    <w:multiLevelType w:val="hybridMultilevel"/>
    <w:tmpl w:val="E43A1A7A"/>
    <w:lvl w:ilvl="0" w:tplc="040C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09F77207"/>
    <w:multiLevelType w:val="hybridMultilevel"/>
    <w:tmpl w:val="6462A344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BDA0059"/>
    <w:multiLevelType w:val="hybridMultilevel"/>
    <w:tmpl w:val="B4AE2B08"/>
    <w:lvl w:ilvl="0" w:tplc="040C0003">
      <w:start w:val="1"/>
      <w:numFmt w:val="bullet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" w15:restartNumberingAfterBreak="0">
    <w:nsid w:val="38A96998"/>
    <w:multiLevelType w:val="hybridMultilevel"/>
    <w:tmpl w:val="23F24030"/>
    <w:lvl w:ilvl="0" w:tplc="E012AEEA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  <w:color w:val="C0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2D1619"/>
    <w:multiLevelType w:val="hybridMultilevel"/>
    <w:tmpl w:val="069848EA"/>
    <w:lvl w:ilvl="0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6" w15:restartNumberingAfterBreak="0">
    <w:nsid w:val="47A7274C"/>
    <w:multiLevelType w:val="hybridMultilevel"/>
    <w:tmpl w:val="BD168116"/>
    <w:lvl w:ilvl="0" w:tplc="A4D4E676">
      <w:start w:val="1"/>
      <w:numFmt w:val="decimal"/>
      <w:lvlText w:val="%1)"/>
      <w:lvlJc w:val="left"/>
      <w:pPr>
        <w:ind w:left="1068" w:hanging="708"/>
      </w:pPr>
      <w:rPr>
        <w:rFonts w:hint="default"/>
        <w:i/>
        <w:color w:val="7030A0"/>
        <w:sz w:val="28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DF7A19"/>
    <w:multiLevelType w:val="hybridMultilevel"/>
    <w:tmpl w:val="DF94B21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C556EB"/>
    <w:multiLevelType w:val="hybridMultilevel"/>
    <w:tmpl w:val="EFD09CC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B71BB5"/>
    <w:multiLevelType w:val="hybridMultilevel"/>
    <w:tmpl w:val="F0FC9600"/>
    <w:lvl w:ilvl="0" w:tplc="29C8449C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  <w:b w:val="0"/>
        <w:i w:val="0"/>
        <w:color w:val="C00000"/>
        <w:u w:val="no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BB676B"/>
    <w:multiLevelType w:val="hybridMultilevel"/>
    <w:tmpl w:val="6DA27400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94E3B74"/>
    <w:multiLevelType w:val="hybridMultilevel"/>
    <w:tmpl w:val="0AA0DC74"/>
    <w:lvl w:ilvl="0" w:tplc="040C0001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22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4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6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8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10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2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4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68" w:hanging="360"/>
      </w:pPr>
      <w:rPr>
        <w:rFonts w:ascii="Wingdings" w:hAnsi="Wingdings" w:hint="default"/>
      </w:rPr>
    </w:lvl>
  </w:abstractNum>
  <w:abstractNum w:abstractNumId="12" w15:restartNumberingAfterBreak="0">
    <w:nsid w:val="5D740726"/>
    <w:multiLevelType w:val="hybridMultilevel"/>
    <w:tmpl w:val="946C86A6"/>
    <w:lvl w:ilvl="0" w:tplc="040C0001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22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4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6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8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10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2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4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68" w:hanging="360"/>
      </w:pPr>
      <w:rPr>
        <w:rFonts w:ascii="Wingdings" w:hAnsi="Wingdings" w:hint="default"/>
      </w:rPr>
    </w:lvl>
  </w:abstractNum>
  <w:abstractNum w:abstractNumId="13" w15:restartNumberingAfterBreak="0">
    <w:nsid w:val="6454329A"/>
    <w:multiLevelType w:val="hybridMultilevel"/>
    <w:tmpl w:val="9812698C"/>
    <w:lvl w:ilvl="0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4" w15:restartNumberingAfterBreak="0">
    <w:nsid w:val="64FA29A0"/>
    <w:multiLevelType w:val="hybridMultilevel"/>
    <w:tmpl w:val="0CC8B8A4"/>
    <w:lvl w:ilvl="0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5" w15:restartNumberingAfterBreak="0">
    <w:nsid w:val="6AA57883"/>
    <w:multiLevelType w:val="hybridMultilevel"/>
    <w:tmpl w:val="CC6263EE"/>
    <w:lvl w:ilvl="0" w:tplc="040C0001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22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4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6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8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10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2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4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68" w:hanging="360"/>
      </w:pPr>
      <w:rPr>
        <w:rFonts w:ascii="Wingdings" w:hAnsi="Wingdings" w:hint="default"/>
      </w:rPr>
    </w:lvl>
  </w:abstractNum>
  <w:abstractNum w:abstractNumId="16" w15:restartNumberingAfterBreak="0">
    <w:nsid w:val="6F236D4F"/>
    <w:multiLevelType w:val="hybridMultilevel"/>
    <w:tmpl w:val="8DD82DE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6A220D"/>
    <w:multiLevelType w:val="hybridMultilevel"/>
    <w:tmpl w:val="463E29B6"/>
    <w:lvl w:ilvl="0" w:tplc="040C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16"/>
  </w:num>
  <w:num w:numId="4">
    <w:abstractNumId w:val="8"/>
  </w:num>
  <w:num w:numId="5">
    <w:abstractNumId w:val="10"/>
  </w:num>
  <w:num w:numId="6">
    <w:abstractNumId w:val="2"/>
  </w:num>
  <w:num w:numId="7">
    <w:abstractNumId w:val="4"/>
  </w:num>
  <w:num w:numId="8">
    <w:abstractNumId w:val="3"/>
  </w:num>
  <w:num w:numId="9">
    <w:abstractNumId w:val="9"/>
  </w:num>
  <w:num w:numId="10">
    <w:abstractNumId w:val="6"/>
  </w:num>
  <w:num w:numId="11">
    <w:abstractNumId w:val="5"/>
  </w:num>
  <w:num w:numId="12">
    <w:abstractNumId w:val="13"/>
  </w:num>
  <w:num w:numId="13">
    <w:abstractNumId w:val="14"/>
  </w:num>
  <w:num w:numId="14">
    <w:abstractNumId w:val="17"/>
  </w:num>
  <w:num w:numId="15">
    <w:abstractNumId w:val="12"/>
  </w:num>
  <w:num w:numId="16">
    <w:abstractNumId w:val="11"/>
  </w:num>
  <w:num w:numId="17">
    <w:abstractNumId w:val="15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7D1"/>
    <w:rsid w:val="000205B4"/>
    <w:rsid w:val="000579B2"/>
    <w:rsid w:val="00072B6C"/>
    <w:rsid w:val="0009770D"/>
    <w:rsid w:val="0014394F"/>
    <w:rsid w:val="00186CD5"/>
    <w:rsid w:val="001F6AB9"/>
    <w:rsid w:val="0025104A"/>
    <w:rsid w:val="00273F0A"/>
    <w:rsid w:val="0029033F"/>
    <w:rsid w:val="002A07E7"/>
    <w:rsid w:val="0033287C"/>
    <w:rsid w:val="0034566B"/>
    <w:rsid w:val="003F109A"/>
    <w:rsid w:val="004304A4"/>
    <w:rsid w:val="00470594"/>
    <w:rsid w:val="00526625"/>
    <w:rsid w:val="00554F14"/>
    <w:rsid w:val="005B050B"/>
    <w:rsid w:val="0061450D"/>
    <w:rsid w:val="006754D0"/>
    <w:rsid w:val="006D79F4"/>
    <w:rsid w:val="00734F1B"/>
    <w:rsid w:val="007C1278"/>
    <w:rsid w:val="008F0DC7"/>
    <w:rsid w:val="00936547"/>
    <w:rsid w:val="00982855"/>
    <w:rsid w:val="009E7C8D"/>
    <w:rsid w:val="00A80F10"/>
    <w:rsid w:val="00A84185"/>
    <w:rsid w:val="00B432ED"/>
    <w:rsid w:val="00B7265B"/>
    <w:rsid w:val="00BC63D7"/>
    <w:rsid w:val="00C331EA"/>
    <w:rsid w:val="00C80EFE"/>
    <w:rsid w:val="00CE47D1"/>
    <w:rsid w:val="00D34273"/>
    <w:rsid w:val="00D806C2"/>
    <w:rsid w:val="00DC36D8"/>
    <w:rsid w:val="00E01806"/>
    <w:rsid w:val="00E2356D"/>
    <w:rsid w:val="00E365BE"/>
    <w:rsid w:val="00E71160"/>
    <w:rsid w:val="00E77183"/>
    <w:rsid w:val="00F3500B"/>
    <w:rsid w:val="00FC5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5387221"/>
  <w15:chartTrackingRefBased/>
  <w15:docId w15:val="{D50D74A9-38AB-4799-8ADD-56876674E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E47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E47D1"/>
  </w:style>
  <w:style w:type="paragraph" w:styleId="Pieddepage">
    <w:name w:val="footer"/>
    <w:basedOn w:val="Normal"/>
    <w:link w:val="PieddepageCar"/>
    <w:uiPriority w:val="99"/>
    <w:unhideWhenUsed/>
    <w:rsid w:val="00CE47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E47D1"/>
  </w:style>
  <w:style w:type="paragraph" w:styleId="Paragraphedeliste">
    <w:name w:val="List Paragraph"/>
    <w:basedOn w:val="Normal"/>
    <w:uiPriority w:val="34"/>
    <w:qFormat/>
    <w:rsid w:val="00CE47D1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8F0DC7"/>
    <w:rPr>
      <w:color w:val="0000FF"/>
      <w:u w:val="single"/>
    </w:rPr>
  </w:style>
  <w:style w:type="table" w:styleId="Grilledutableau">
    <w:name w:val="Table Grid"/>
    <w:basedOn w:val="TableauNormal"/>
    <w:uiPriority w:val="39"/>
    <w:rsid w:val="00273F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Grille4-Accentuation1">
    <w:name w:val="Grid Table 4 Accent 1"/>
    <w:basedOn w:val="TableauNormal"/>
    <w:uiPriority w:val="49"/>
    <w:rsid w:val="00FC530B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2</Pages>
  <Words>333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ARS</Company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BLIN, Marjorie</dc:creator>
  <cp:keywords/>
  <dc:description/>
  <cp:lastModifiedBy>BLIN, Marjorie</cp:lastModifiedBy>
  <cp:revision>24</cp:revision>
  <dcterms:created xsi:type="dcterms:W3CDTF">2020-10-16T12:52:00Z</dcterms:created>
  <dcterms:modified xsi:type="dcterms:W3CDTF">2021-01-06T13:48:00Z</dcterms:modified>
</cp:coreProperties>
</file>